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427E2" w14:textId="77777777" w:rsidR="0069265B" w:rsidRDefault="00871FCF" w:rsidP="00871FCF">
      <w:pPr>
        <w:jc w:val="center"/>
        <w:rPr>
          <w:rFonts w:ascii="Times New Roman" w:hAnsi="Times New Roman" w:cs="Times New Roman"/>
          <w:b/>
          <w:sz w:val="24"/>
          <w:szCs w:val="24"/>
        </w:rPr>
      </w:pPr>
      <w:r w:rsidRPr="00871FCF">
        <w:rPr>
          <w:rFonts w:ascii="Times New Roman" w:hAnsi="Times New Roman" w:cs="Times New Roman"/>
          <w:b/>
          <w:sz w:val="24"/>
          <w:szCs w:val="24"/>
        </w:rPr>
        <w:t>Informace k podávání oznámení o možném protiprávním jednání dle zákona č. 171/2023 Sb., o ochraně oznamovatelů</w:t>
      </w:r>
      <w:r w:rsidR="0025024E">
        <w:rPr>
          <w:rFonts w:ascii="Times New Roman" w:hAnsi="Times New Roman" w:cs="Times New Roman"/>
          <w:b/>
          <w:sz w:val="24"/>
          <w:szCs w:val="24"/>
        </w:rPr>
        <w:t xml:space="preserve"> (</w:t>
      </w:r>
      <w:r w:rsidR="0025024E" w:rsidRPr="0025024E">
        <w:rPr>
          <w:rFonts w:ascii="Times New Roman" w:hAnsi="Times New Roman" w:cs="Times New Roman"/>
          <w:bCs/>
          <w:sz w:val="24"/>
          <w:szCs w:val="24"/>
        </w:rPr>
        <w:t>dále jen</w:t>
      </w:r>
      <w:r w:rsidR="0025024E">
        <w:rPr>
          <w:rFonts w:ascii="Times New Roman" w:hAnsi="Times New Roman" w:cs="Times New Roman"/>
          <w:b/>
          <w:sz w:val="24"/>
          <w:szCs w:val="24"/>
        </w:rPr>
        <w:t xml:space="preserve"> „zákon“)</w:t>
      </w:r>
    </w:p>
    <w:p w14:paraId="4A5AB443" w14:textId="77777777" w:rsidR="00871FCF" w:rsidRDefault="00871FCF" w:rsidP="00871FCF">
      <w:pPr>
        <w:jc w:val="both"/>
        <w:rPr>
          <w:rFonts w:ascii="Times New Roman" w:hAnsi="Times New Roman" w:cs="Times New Roman"/>
          <w:sz w:val="24"/>
          <w:szCs w:val="24"/>
        </w:rPr>
      </w:pPr>
    </w:p>
    <w:p w14:paraId="14C239CC" w14:textId="77777777" w:rsidR="00871FCF" w:rsidRPr="00880BB0" w:rsidRDefault="00871FCF" w:rsidP="00880BB0">
      <w:pPr>
        <w:spacing w:line="276" w:lineRule="auto"/>
        <w:jc w:val="both"/>
        <w:rPr>
          <w:rFonts w:ascii="Times New Roman" w:hAnsi="Times New Roman" w:cs="Times New Roman"/>
          <w:sz w:val="24"/>
          <w:szCs w:val="24"/>
          <w:u w:val="single"/>
        </w:rPr>
      </w:pPr>
      <w:r w:rsidRPr="00880BB0">
        <w:rPr>
          <w:rFonts w:ascii="Times New Roman" w:hAnsi="Times New Roman" w:cs="Times New Roman"/>
          <w:sz w:val="24"/>
          <w:szCs w:val="24"/>
          <w:u w:val="single"/>
        </w:rPr>
        <w:t>1. Jaká protiprávní jednání lze oznamovat?</w:t>
      </w:r>
    </w:p>
    <w:p w14:paraId="7A2FF736" w14:textId="77777777" w:rsidR="00871FCF" w:rsidRPr="00880BB0" w:rsidRDefault="00871FCF" w:rsidP="00880BB0">
      <w:pPr>
        <w:shd w:val="clear" w:color="auto" w:fill="FFFFFF"/>
        <w:spacing w:after="300" w:line="276" w:lineRule="auto"/>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Oznámení musí obsahovat informace </w:t>
      </w:r>
      <w:r w:rsidRPr="00880BB0">
        <w:rPr>
          <w:rFonts w:ascii="Times New Roman" w:eastAsia="Times New Roman" w:hAnsi="Times New Roman" w:cs="Times New Roman"/>
          <w:b/>
          <w:bCs/>
          <w:sz w:val="24"/>
          <w:szCs w:val="24"/>
          <w:lang w:eastAsia="cs-CZ"/>
        </w:rPr>
        <w:t>o možném protiprávním jednání</w:t>
      </w:r>
      <w:r w:rsidRPr="00880BB0">
        <w:rPr>
          <w:rFonts w:ascii="Times New Roman" w:eastAsia="Times New Roman" w:hAnsi="Times New Roman" w:cs="Times New Roman"/>
          <w:sz w:val="24"/>
          <w:szCs w:val="24"/>
          <w:lang w:eastAsia="cs-CZ"/>
        </w:rPr>
        <w:t>, k němuž </w:t>
      </w:r>
      <w:r w:rsidRPr="00880BB0">
        <w:rPr>
          <w:rFonts w:ascii="Times New Roman" w:eastAsia="Times New Roman" w:hAnsi="Times New Roman" w:cs="Times New Roman"/>
          <w:b/>
          <w:bCs/>
          <w:sz w:val="24"/>
          <w:szCs w:val="24"/>
          <w:lang w:eastAsia="cs-CZ"/>
        </w:rPr>
        <w:t>došlo nebo má dojít</w:t>
      </w:r>
      <w:r w:rsidRPr="00880BB0">
        <w:rPr>
          <w:rFonts w:ascii="Times New Roman" w:eastAsia="Times New Roman" w:hAnsi="Times New Roman" w:cs="Times New Roman"/>
          <w:sz w:val="24"/>
          <w:szCs w:val="24"/>
          <w:lang w:eastAsia="cs-CZ"/>
        </w:rPr>
        <w:t> u osoby, pro niž oznamovatel, byť zprostředkovaně, </w:t>
      </w:r>
      <w:r w:rsidRPr="00880BB0">
        <w:rPr>
          <w:rFonts w:ascii="Times New Roman" w:eastAsia="Times New Roman" w:hAnsi="Times New Roman" w:cs="Times New Roman"/>
          <w:b/>
          <w:bCs/>
          <w:sz w:val="24"/>
          <w:szCs w:val="24"/>
          <w:lang w:eastAsia="cs-CZ"/>
        </w:rPr>
        <w:t>vykonával nebo vykonává práci nebo jinou obdobnou činnost</w:t>
      </w:r>
      <w:r w:rsidRPr="00880BB0">
        <w:rPr>
          <w:rFonts w:ascii="Times New Roman" w:eastAsia="Times New Roman" w:hAnsi="Times New Roman" w:cs="Times New Roman"/>
          <w:sz w:val="24"/>
          <w:szCs w:val="24"/>
          <w:lang w:eastAsia="cs-CZ"/>
        </w:rPr>
        <w:t>, nebo u osoby, se kterou oznamovatel </w:t>
      </w:r>
      <w:r w:rsidRPr="00880BB0">
        <w:rPr>
          <w:rFonts w:ascii="Times New Roman" w:eastAsia="Times New Roman" w:hAnsi="Times New Roman" w:cs="Times New Roman"/>
          <w:b/>
          <w:bCs/>
          <w:sz w:val="24"/>
          <w:szCs w:val="24"/>
          <w:lang w:eastAsia="cs-CZ"/>
        </w:rPr>
        <w:t>byl nebo je v kontaktu v souvislosti s výkonem práce nebo jiné obdobné činnosti</w:t>
      </w:r>
      <w:r w:rsidRPr="00880BB0">
        <w:rPr>
          <w:rFonts w:ascii="Times New Roman" w:eastAsia="Times New Roman" w:hAnsi="Times New Roman" w:cs="Times New Roman"/>
          <w:sz w:val="24"/>
          <w:szCs w:val="24"/>
          <w:lang w:eastAsia="cs-CZ"/>
        </w:rPr>
        <w:t> a které:</w:t>
      </w:r>
    </w:p>
    <w:p w14:paraId="1D2BC3FC" w14:textId="77777777" w:rsidR="00871FCF" w:rsidRPr="00880BB0" w:rsidRDefault="00871FCF" w:rsidP="00880BB0">
      <w:pPr>
        <w:pStyle w:val="Odstavecseseznamem"/>
        <w:numPr>
          <w:ilvl w:val="0"/>
          <w:numId w:val="2"/>
        </w:numPr>
        <w:shd w:val="clear" w:color="auto" w:fill="FFFFFF"/>
        <w:spacing w:after="300" w:line="276" w:lineRule="auto"/>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má znaky trestného činu; má znaky přestupku, za který zákon stanoví sazbu pokuty, jejíž horní hranice je alespoň 100 000 Kč; porušuje zákon o ochraně oznamovatelů nebo porušuje jiný právní předpis nebo předpis Evropské unie v oblasti:</w:t>
      </w:r>
    </w:p>
    <w:p w14:paraId="330A6DA5"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finančních služeb, povinného auditu a jiných ověřovacích služeb, finančních produktů a finančních trhů,</w:t>
      </w:r>
    </w:p>
    <w:p w14:paraId="321D1747"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daně z příjmů právnických osob,</w:t>
      </w:r>
    </w:p>
    <w:p w14:paraId="2112CB72"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předcházení legalizaci výnosů z trestné činnosti a financování terorismu,</w:t>
      </w:r>
    </w:p>
    <w:p w14:paraId="6913A748"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ochrany spotřebitele,</w:t>
      </w:r>
    </w:p>
    <w:p w14:paraId="32057150"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souladu s požadavky na výrobky včetně jejich bezpečnosti,</w:t>
      </w:r>
    </w:p>
    <w:p w14:paraId="15D8E315"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bezpečnosti dopravy, přepravy a provozu na pozemních komunikacích,</w:t>
      </w:r>
    </w:p>
    <w:p w14:paraId="3C8C4803"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ochrany životního prostředí,</w:t>
      </w:r>
    </w:p>
    <w:p w14:paraId="6CB37B72"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bezpečnosti potravin a krmiv a ochrany zvířat a jejich zdraví,</w:t>
      </w:r>
    </w:p>
    <w:p w14:paraId="3C93B4E2"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radiační ochrany a jaderné bezpečnosti,</w:t>
      </w:r>
    </w:p>
    <w:p w14:paraId="098F0E4F"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hospodářské soutěže, veřejných dražeb a zadávání veřejných zakázek,</w:t>
      </w:r>
    </w:p>
    <w:p w14:paraId="502495C2"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ochrany vnitřního pořádku a bezpečnosti, života a zdraví,</w:t>
      </w:r>
    </w:p>
    <w:p w14:paraId="269221FF"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ochrany osobních údajů, soukromí a bezpečnosti sítí elektronických komunikací a informačních systémů,</w:t>
      </w:r>
    </w:p>
    <w:p w14:paraId="4F2F0A67"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ochrany finančních zájmů Evropské unie, nebo</w:t>
      </w:r>
    </w:p>
    <w:p w14:paraId="5AAEF84B" w14:textId="77777777" w:rsidR="00871FCF" w:rsidRPr="00880BB0" w:rsidRDefault="00871FCF" w:rsidP="00880BB0">
      <w:pPr>
        <w:numPr>
          <w:ilvl w:val="0"/>
          <w:numId w:val="1"/>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fungování vnitřního trhu včetně ochrany hospodářské soutěže a státní podpory podle práva Evropské unie.</w:t>
      </w:r>
    </w:p>
    <w:p w14:paraId="05783E26" w14:textId="77777777" w:rsidR="00871FCF" w:rsidRPr="00880BB0" w:rsidRDefault="00871FCF" w:rsidP="00880BB0">
      <w:pPr>
        <w:shd w:val="clear" w:color="auto" w:fill="FFFFFF"/>
        <w:spacing w:after="300" w:line="276" w:lineRule="auto"/>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U oznamovatele se </w:t>
      </w:r>
      <w:r w:rsidRPr="00880BB0">
        <w:rPr>
          <w:rFonts w:ascii="Times New Roman" w:eastAsia="Times New Roman" w:hAnsi="Times New Roman" w:cs="Times New Roman"/>
          <w:b/>
          <w:bCs/>
          <w:sz w:val="24"/>
          <w:szCs w:val="24"/>
          <w:lang w:eastAsia="cs-CZ"/>
        </w:rPr>
        <w:t>nepředpokládá</w:t>
      </w:r>
      <w:r w:rsidRPr="00880BB0">
        <w:rPr>
          <w:rFonts w:ascii="Times New Roman" w:eastAsia="Times New Roman" w:hAnsi="Times New Roman" w:cs="Times New Roman"/>
          <w:sz w:val="24"/>
          <w:szCs w:val="24"/>
          <w:lang w:eastAsia="cs-CZ"/>
        </w:rPr>
        <w:t>, že by disponoval expertní znalostí, která by mu umožnila bezchybné či detailní právní posouzení oznamovaného protiprávního jednání. Ani příslušná osoba nemusí zkoumat všechny pojmové znaky oznamovaného provinění. Oznamovatel i příslušná osoba pouze předběžně posoudí naplnění znaků skutkové podstaty.</w:t>
      </w:r>
    </w:p>
    <w:p w14:paraId="70F4F6AB" w14:textId="77777777" w:rsidR="00871FCF" w:rsidRPr="00880BB0" w:rsidRDefault="000B7360" w:rsidP="00880BB0">
      <w:pPr>
        <w:spacing w:line="276" w:lineRule="auto"/>
        <w:jc w:val="both"/>
        <w:rPr>
          <w:rFonts w:ascii="Times New Roman" w:hAnsi="Times New Roman" w:cs="Times New Roman"/>
          <w:sz w:val="24"/>
          <w:szCs w:val="24"/>
          <w:u w:val="single"/>
        </w:rPr>
      </w:pPr>
      <w:r w:rsidRPr="00880BB0">
        <w:rPr>
          <w:rFonts w:ascii="Times New Roman" w:hAnsi="Times New Roman" w:cs="Times New Roman"/>
          <w:sz w:val="24"/>
          <w:szCs w:val="24"/>
          <w:u w:val="single"/>
        </w:rPr>
        <w:t xml:space="preserve">2. </w:t>
      </w:r>
      <w:r w:rsidR="00AF4710" w:rsidRPr="00880BB0">
        <w:rPr>
          <w:rFonts w:ascii="Times New Roman" w:hAnsi="Times New Roman" w:cs="Times New Roman"/>
          <w:sz w:val="24"/>
          <w:szCs w:val="24"/>
          <w:u w:val="single"/>
        </w:rPr>
        <w:t>Kdo může oznámení podat?</w:t>
      </w:r>
    </w:p>
    <w:p w14:paraId="00A7E72D" w14:textId="77777777" w:rsidR="00AF4710" w:rsidRPr="00880BB0" w:rsidRDefault="00AF4710" w:rsidP="00880BB0">
      <w:pPr>
        <w:shd w:val="clear" w:color="auto" w:fill="FFFFFF"/>
        <w:spacing w:after="300" w:line="276" w:lineRule="auto"/>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Oznámení může podat </w:t>
      </w:r>
      <w:r w:rsidRPr="00880BB0">
        <w:rPr>
          <w:rFonts w:ascii="Times New Roman" w:eastAsia="Times New Roman" w:hAnsi="Times New Roman" w:cs="Times New Roman"/>
          <w:b/>
          <w:bCs/>
          <w:sz w:val="24"/>
          <w:szCs w:val="24"/>
          <w:lang w:eastAsia="cs-CZ"/>
        </w:rPr>
        <w:t>fyzická osoba, která vykonává či vykonávala</w:t>
      </w:r>
      <w:r w:rsidRPr="00880BB0">
        <w:rPr>
          <w:rFonts w:ascii="Times New Roman" w:eastAsia="Times New Roman" w:hAnsi="Times New Roman" w:cs="Times New Roman"/>
          <w:sz w:val="24"/>
          <w:szCs w:val="24"/>
          <w:lang w:eastAsia="cs-CZ"/>
        </w:rPr>
        <w:t> práci nebo jinou obdobnou činnost v souvislosti s níž oznámení podává.</w:t>
      </w:r>
    </w:p>
    <w:p w14:paraId="445C4FF0" w14:textId="16461C5C" w:rsidR="00AF4710" w:rsidRPr="00150E12" w:rsidRDefault="009613F7" w:rsidP="00150E12">
      <w:pPr>
        <w:numPr>
          <w:ilvl w:val="12"/>
          <w:numId w:val="0"/>
        </w:numPr>
        <w:tabs>
          <w:tab w:val="left" w:pos="426"/>
          <w:tab w:val="left" w:pos="2268"/>
        </w:tabs>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w:t>
      </w:r>
      <w:r w:rsidR="00D94757" w:rsidRPr="009613F7">
        <w:rPr>
          <w:rStyle w:val="Siln"/>
          <w:rFonts w:ascii="Times New Roman" w:hAnsi="Times New Roman" w:cs="Times New Roman"/>
          <w:sz w:val="24"/>
          <w:szCs w:val="24"/>
          <w:bdr w:val="none" w:sz="0" w:space="0" w:color="auto" w:frame="1"/>
          <w:shd w:val="clear" w:color="auto" w:fill="FFFFFF"/>
        </w:rPr>
        <w:t>polečnost</w:t>
      </w:r>
      <w:r>
        <w:rPr>
          <w:rStyle w:val="Siln"/>
          <w:rFonts w:ascii="Times New Roman" w:hAnsi="Times New Roman" w:cs="Times New Roman"/>
          <w:sz w:val="24"/>
          <w:szCs w:val="24"/>
          <w:bdr w:val="none" w:sz="0" w:space="0" w:color="auto" w:frame="1"/>
          <w:shd w:val="clear" w:color="auto" w:fill="FFFFFF"/>
        </w:rPr>
        <w:t>i</w:t>
      </w:r>
      <w:r w:rsidR="00D94757" w:rsidRPr="009613F7">
        <w:rPr>
          <w:rStyle w:val="Siln"/>
          <w:rFonts w:ascii="Times New Roman" w:hAnsi="Times New Roman" w:cs="Times New Roman"/>
          <w:b w:val="0"/>
          <w:sz w:val="24"/>
          <w:szCs w:val="24"/>
          <w:bdr w:val="none" w:sz="0" w:space="0" w:color="auto" w:frame="1"/>
          <w:shd w:val="clear" w:color="auto" w:fill="FFFFFF"/>
        </w:rPr>
        <w:t xml:space="preserve"> </w:t>
      </w:r>
      <w:r w:rsidR="001B1EFA" w:rsidRPr="009613F7">
        <w:rPr>
          <w:rFonts w:ascii="Times New Roman" w:hAnsi="Times New Roman" w:cs="Times New Roman"/>
          <w:b/>
          <w:shd w:val="clear" w:color="auto" w:fill="FFFFFF"/>
        </w:rPr>
        <w:t>HR Profit s.r.o.</w:t>
      </w:r>
      <w:r w:rsidRPr="009613F7">
        <w:rPr>
          <w:rFonts w:ascii="Times New Roman" w:hAnsi="Times New Roman" w:cs="Times New Roman"/>
          <w:b/>
          <w:shd w:val="clear" w:color="auto" w:fill="FFFFFF"/>
        </w:rPr>
        <w:t xml:space="preserve">, </w:t>
      </w:r>
      <w:proofErr w:type="spellStart"/>
      <w:r w:rsidRPr="009613F7">
        <w:rPr>
          <w:rFonts w:ascii="Times New Roman" w:hAnsi="Times New Roman" w:cs="Times New Roman"/>
          <w:b/>
          <w:shd w:val="clear" w:color="auto" w:fill="FFFFFF"/>
        </w:rPr>
        <w:t>Simix</w:t>
      </w:r>
      <w:proofErr w:type="spellEnd"/>
      <w:r w:rsidRPr="009613F7">
        <w:rPr>
          <w:rFonts w:ascii="Times New Roman" w:hAnsi="Times New Roman" w:cs="Times New Roman"/>
          <w:b/>
          <w:shd w:val="clear" w:color="auto" w:fill="FFFFFF"/>
        </w:rPr>
        <w:t xml:space="preserve"> Morava s. r. o., PJI Shopping s. r. o., Smart </w:t>
      </w:r>
      <w:proofErr w:type="spellStart"/>
      <w:r w:rsidRPr="009613F7">
        <w:rPr>
          <w:rFonts w:ascii="Times New Roman" w:hAnsi="Times New Roman" w:cs="Times New Roman"/>
          <w:b/>
          <w:shd w:val="clear" w:color="auto" w:fill="FFFFFF"/>
        </w:rPr>
        <w:t>Automotive</w:t>
      </w:r>
      <w:proofErr w:type="spellEnd"/>
      <w:r w:rsidRPr="009613F7">
        <w:rPr>
          <w:rFonts w:ascii="Times New Roman" w:hAnsi="Times New Roman" w:cs="Times New Roman"/>
          <w:b/>
          <w:shd w:val="clear" w:color="auto" w:fill="FFFFFF"/>
        </w:rPr>
        <w:t xml:space="preserve"> s. r. o., </w:t>
      </w:r>
      <w:proofErr w:type="spellStart"/>
      <w:r w:rsidRPr="009613F7">
        <w:rPr>
          <w:rFonts w:ascii="Times New Roman" w:hAnsi="Times New Roman" w:cs="Times New Roman"/>
          <w:b/>
          <w:shd w:val="clear" w:color="auto" w:fill="FFFFFF"/>
        </w:rPr>
        <w:t>Labour</w:t>
      </w:r>
      <w:proofErr w:type="spellEnd"/>
      <w:r w:rsidRPr="009613F7">
        <w:rPr>
          <w:rFonts w:ascii="Times New Roman" w:hAnsi="Times New Roman" w:cs="Times New Roman"/>
          <w:b/>
          <w:shd w:val="clear" w:color="auto" w:fill="FFFFFF"/>
        </w:rPr>
        <w:t xml:space="preserve"> </w:t>
      </w:r>
      <w:proofErr w:type="spellStart"/>
      <w:r w:rsidRPr="009613F7">
        <w:rPr>
          <w:rFonts w:ascii="Times New Roman" w:hAnsi="Times New Roman" w:cs="Times New Roman"/>
          <w:b/>
          <w:shd w:val="clear" w:color="auto" w:fill="FFFFFF"/>
        </w:rPr>
        <w:t>Progress</w:t>
      </w:r>
      <w:proofErr w:type="spellEnd"/>
      <w:r w:rsidRPr="009613F7">
        <w:rPr>
          <w:rFonts w:ascii="Times New Roman" w:hAnsi="Times New Roman" w:cs="Times New Roman"/>
          <w:b/>
          <w:shd w:val="clear" w:color="auto" w:fill="FFFFFF"/>
        </w:rPr>
        <w:t xml:space="preserve"> s. r. o., Smart </w:t>
      </w:r>
      <w:proofErr w:type="spellStart"/>
      <w:r w:rsidRPr="009613F7">
        <w:rPr>
          <w:rFonts w:ascii="Times New Roman" w:hAnsi="Times New Roman" w:cs="Times New Roman"/>
          <w:b/>
          <w:shd w:val="clear" w:color="auto" w:fill="FFFFFF"/>
        </w:rPr>
        <w:t>Simix</w:t>
      </w:r>
      <w:proofErr w:type="spellEnd"/>
      <w:r w:rsidRPr="009613F7">
        <w:rPr>
          <w:rFonts w:ascii="Times New Roman" w:hAnsi="Times New Roman" w:cs="Times New Roman"/>
          <w:b/>
          <w:shd w:val="clear" w:color="auto" w:fill="FFFFFF"/>
        </w:rPr>
        <w:t xml:space="preserve"> s. r. o., SMART </w:t>
      </w:r>
      <w:proofErr w:type="spellStart"/>
      <w:r w:rsidRPr="009613F7">
        <w:rPr>
          <w:rFonts w:ascii="Times New Roman" w:hAnsi="Times New Roman" w:cs="Times New Roman"/>
          <w:b/>
          <w:shd w:val="clear" w:color="auto" w:fill="FFFFFF"/>
        </w:rPr>
        <w:t>Career</w:t>
      </w:r>
      <w:proofErr w:type="spellEnd"/>
      <w:r w:rsidRPr="009613F7">
        <w:rPr>
          <w:rFonts w:ascii="Times New Roman" w:hAnsi="Times New Roman" w:cs="Times New Roman"/>
          <w:b/>
          <w:shd w:val="clear" w:color="auto" w:fill="FFFFFF"/>
        </w:rPr>
        <w:t xml:space="preserve"> s.r.o., </w:t>
      </w:r>
      <w:proofErr w:type="spellStart"/>
      <w:r w:rsidRPr="009613F7">
        <w:rPr>
          <w:rFonts w:ascii="Times New Roman" w:hAnsi="Times New Roman" w:cs="Times New Roman"/>
          <w:b/>
          <w:shd w:val="clear" w:color="auto" w:fill="FFFFFF"/>
        </w:rPr>
        <w:t>Middle</w:t>
      </w:r>
      <w:proofErr w:type="spellEnd"/>
      <w:r w:rsidRPr="009613F7">
        <w:rPr>
          <w:rFonts w:ascii="Times New Roman" w:hAnsi="Times New Roman" w:cs="Times New Roman"/>
          <w:b/>
          <w:shd w:val="clear" w:color="auto" w:fill="FFFFFF"/>
        </w:rPr>
        <w:t xml:space="preserve"> </w:t>
      </w:r>
      <w:proofErr w:type="spellStart"/>
      <w:r w:rsidRPr="009613F7">
        <w:rPr>
          <w:rFonts w:ascii="Times New Roman" w:hAnsi="Times New Roman" w:cs="Times New Roman"/>
          <w:b/>
          <w:shd w:val="clear" w:color="auto" w:fill="FFFFFF"/>
        </w:rPr>
        <w:t>Europe</w:t>
      </w:r>
      <w:proofErr w:type="spellEnd"/>
      <w:r w:rsidRPr="009613F7">
        <w:rPr>
          <w:rFonts w:ascii="Times New Roman" w:hAnsi="Times New Roman" w:cs="Times New Roman"/>
          <w:b/>
          <w:shd w:val="clear" w:color="auto" w:fill="FFFFFF"/>
        </w:rPr>
        <w:t xml:space="preserve"> </w:t>
      </w:r>
      <w:proofErr w:type="spellStart"/>
      <w:r w:rsidRPr="009613F7">
        <w:rPr>
          <w:rFonts w:ascii="Times New Roman" w:hAnsi="Times New Roman" w:cs="Times New Roman"/>
          <w:b/>
          <w:shd w:val="clear" w:color="auto" w:fill="FFFFFF"/>
        </w:rPr>
        <w:t>Industry</w:t>
      </w:r>
      <w:proofErr w:type="spellEnd"/>
      <w:r w:rsidRPr="009613F7">
        <w:rPr>
          <w:rFonts w:ascii="Times New Roman" w:hAnsi="Times New Roman" w:cs="Times New Roman"/>
          <w:b/>
          <w:shd w:val="clear" w:color="auto" w:fill="FFFFFF"/>
        </w:rPr>
        <w:t xml:space="preserve"> </w:t>
      </w:r>
      <w:r w:rsidRPr="009613F7">
        <w:rPr>
          <w:rFonts w:ascii="Times New Roman" w:hAnsi="Times New Roman" w:cs="Times New Roman"/>
          <w:b/>
          <w:shd w:val="clear" w:color="auto" w:fill="FFFFFF"/>
        </w:rPr>
        <w:lastRenderedPageBreak/>
        <w:t>Group s.r.o.</w:t>
      </w:r>
      <w:r>
        <w:rPr>
          <w:rFonts w:ascii="Times New Roman" w:hAnsi="Times New Roman" w:cs="Times New Roman"/>
          <w:b/>
          <w:sz w:val="24"/>
          <w:szCs w:val="24"/>
          <w:shd w:val="clear" w:color="auto" w:fill="FFFFFF"/>
        </w:rPr>
        <w:t xml:space="preserve"> (dále jen „povinné subjekty“)</w:t>
      </w:r>
      <w:r w:rsidR="00AF4710" w:rsidRPr="009613F7">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vylučují</w:t>
      </w:r>
      <w:r w:rsidR="00AF4710" w:rsidRPr="00150E12">
        <w:rPr>
          <w:rFonts w:ascii="Times New Roman" w:hAnsi="Times New Roman" w:cs="Times New Roman"/>
          <w:b/>
          <w:sz w:val="24"/>
          <w:szCs w:val="24"/>
          <w:shd w:val="clear" w:color="auto" w:fill="FFFFFF"/>
        </w:rPr>
        <w:t xml:space="preserve"> přijímání ozná</w:t>
      </w:r>
      <w:r w:rsidR="006D07EE">
        <w:rPr>
          <w:rFonts w:ascii="Times New Roman" w:hAnsi="Times New Roman" w:cs="Times New Roman"/>
          <w:b/>
          <w:sz w:val="24"/>
          <w:szCs w:val="24"/>
          <w:shd w:val="clear" w:color="auto" w:fill="FFFFFF"/>
        </w:rPr>
        <w:t>mení od osoby, která pro žádný z povinných</w:t>
      </w:r>
      <w:r w:rsidR="00AF4710" w:rsidRPr="00150E12">
        <w:rPr>
          <w:rFonts w:ascii="Times New Roman" w:hAnsi="Times New Roman" w:cs="Times New Roman"/>
          <w:b/>
          <w:sz w:val="24"/>
          <w:szCs w:val="24"/>
          <w:shd w:val="clear" w:color="auto" w:fill="FFFFFF"/>
        </w:rPr>
        <w:t xml:space="preserve"> subjekt</w:t>
      </w:r>
      <w:r w:rsidR="006D07EE">
        <w:rPr>
          <w:rFonts w:ascii="Times New Roman" w:hAnsi="Times New Roman" w:cs="Times New Roman"/>
          <w:b/>
          <w:sz w:val="24"/>
          <w:szCs w:val="24"/>
          <w:shd w:val="clear" w:color="auto" w:fill="FFFFFF"/>
        </w:rPr>
        <w:t>ů</w:t>
      </w:r>
      <w:r w:rsidR="00AF4710" w:rsidRPr="00150E12">
        <w:rPr>
          <w:rFonts w:ascii="Times New Roman" w:hAnsi="Times New Roman" w:cs="Times New Roman"/>
          <w:b/>
          <w:sz w:val="24"/>
          <w:szCs w:val="24"/>
          <w:shd w:val="clear" w:color="auto" w:fill="FFFFFF"/>
        </w:rPr>
        <w:t xml:space="preserve"> nevykonává práci nebo jinou obdobnou činnost podle § 2 odst. 3 písm. a), b), h) nebo i)</w:t>
      </w:r>
      <w:r w:rsidR="0025024E" w:rsidRPr="00150E12">
        <w:rPr>
          <w:rFonts w:ascii="Times New Roman" w:hAnsi="Times New Roman" w:cs="Times New Roman"/>
          <w:b/>
          <w:sz w:val="24"/>
          <w:szCs w:val="24"/>
          <w:shd w:val="clear" w:color="auto" w:fill="FFFFFF"/>
        </w:rPr>
        <w:t xml:space="preserve"> zákona</w:t>
      </w:r>
      <w:r w:rsidR="00AF4710" w:rsidRPr="00150E12">
        <w:rPr>
          <w:rFonts w:ascii="Times New Roman" w:hAnsi="Times New Roman" w:cs="Times New Roman"/>
          <w:b/>
          <w:sz w:val="24"/>
          <w:szCs w:val="24"/>
          <w:shd w:val="clear" w:color="auto" w:fill="FFFFFF"/>
        </w:rPr>
        <w:t>.</w:t>
      </w:r>
    </w:p>
    <w:p w14:paraId="24737292" w14:textId="77777777" w:rsidR="00AF4710" w:rsidRPr="00880BB0" w:rsidRDefault="00AF4710" w:rsidP="00880BB0">
      <w:pPr>
        <w:shd w:val="clear" w:color="auto" w:fill="FFFFFF"/>
        <w:spacing w:after="300" w:line="276" w:lineRule="auto"/>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Prací nebo jinou obdobnou činností se pro účely zákona o ochraně oznamovatelů v souvislosti s výše uvedeným rozumí pouze</w:t>
      </w:r>
    </w:p>
    <w:p w14:paraId="7BFF1BCF" w14:textId="77777777" w:rsidR="00AF4710" w:rsidRPr="00880BB0" w:rsidRDefault="00AF4710" w:rsidP="00880BB0">
      <w:pPr>
        <w:numPr>
          <w:ilvl w:val="0"/>
          <w:numId w:val="3"/>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závislá práce vykonávaná v základním pracovněprávním vztahu,</w:t>
      </w:r>
    </w:p>
    <w:p w14:paraId="04DACD10" w14:textId="77777777" w:rsidR="00AF4710" w:rsidRPr="00880BB0" w:rsidRDefault="00AF4710" w:rsidP="00880BB0">
      <w:pPr>
        <w:numPr>
          <w:ilvl w:val="0"/>
          <w:numId w:val="3"/>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služba,</w:t>
      </w:r>
    </w:p>
    <w:p w14:paraId="58F991D6" w14:textId="77777777" w:rsidR="00AF4710" w:rsidRPr="00880BB0" w:rsidRDefault="00AF4710" w:rsidP="00880BB0">
      <w:pPr>
        <w:numPr>
          <w:ilvl w:val="0"/>
          <w:numId w:val="3"/>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dobrovolnická činnost,</w:t>
      </w:r>
    </w:p>
    <w:p w14:paraId="795CB354" w14:textId="77777777" w:rsidR="00AF4710" w:rsidRPr="00880BB0" w:rsidRDefault="00AF4710" w:rsidP="00880BB0">
      <w:pPr>
        <w:numPr>
          <w:ilvl w:val="0"/>
          <w:numId w:val="3"/>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odborná praxe, stáž</w:t>
      </w:r>
    </w:p>
    <w:p w14:paraId="74588FA1" w14:textId="77777777" w:rsidR="00AF4710" w:rsidRPr="00880BB0" w:rsidRDefault="00AF4710" w:rsidP="00880BB0">
      <w:pPr>
        <w:spacing w:line="276" w:lineRule="auto"/>
        <w:jc w:val="both"/>
        <w:rPr>
          <w:rFonts w:ascii="Times New Roman" w:hAnsi="Times New Roman" w:cs="Times New Roman"/>
          <w:sz w:val="24"/>
          <w:szCs w:val="24"/>
          <w:u w:val="single"/>
        </w:rPr>
      </w:pPr>
      <w:r w:rsidRPr="00880BB0">
        <w:rPr>
          <w:rFonts w:ascii="Times New Roman" w:hAnsi="Times New Roman" w:cs="Times New Roman"/>
          <w:sz w:val="24"/>
          <w:szCs w:val="24"/>
          <w:u w:val="single"/>
        </w:rPr>
        <w:t>3. Komu podezření na protiprávní jednání oznámit?</w:t>
      </w:r>
    </w:p>
    <w:p w14:paraId="048B05E8" w14:textId="2FD168FB" w:rsidR="00AF4710" w:rsidRPr="009613F7" w:rsidRDefault="00AF4710" w:rsidP="00150E12">
      <w:pPr>
        <w:numPr>
          <w:ilvl w:val="12"/>
          <w:numId w:val="0"/>
        </w:numPr>
        <w:tabs>
          <w:tab w:val="left" w:pos="426"/>
          <w:tab w:val="left" w:pos="2268"/>
        </w:tabs>
        <w:jc w:val="both"/>
        <w:rPr>
          <w:rFonts w:ascii="Times New Roman" w:hAnsi="Times New Roman" w:cs="Times New Roman"/>
          <w:bCs/>
          <w:sz w:val="24"/>
          <w:szCs w:val="24"/>
          <w:bdr w:val="none" w:sz="0" w:space="0" w:color="auto" w:frame="1"/>
          <w:shd w:val="clear" w:color="auto" w:fill="FFFFFF"/>
        </w:rPr>
      </w:pPr>
      <w:r w:rsidRPr="00880BB0">
        <w:rPr>
          <w:rFonts w:ascii="Times New Roman" w:eastAsia="Times New Roman" w:hAnsi="Times New Roman" w:cs="Times New Roman"/>
          <w:sz w:val="24"/>
          <w:szCs w:val="24"/>
          <w:lang w:eastAsia="cs-CZ"/>
        </w:rPr>
        <w:t>Oznamovatel protiprávního jednání podle zákona o ochraně oznamovatelů by měl v ideálním případě postupovat tak, že své o</w:t>
      </w:r>
      <w:r w:rsidR="002A183E" w:rsidRPr="00880BB0">
        <w:rPr>
          <w:rFonts w:ascii="Times New Roman" w:eastAsia="Times New Roman" w:hAnsi="Times New Roman" w:cs="Times New Roman"/>
          <w:sz w:val="24"/>
          <w:szCs w:val="24"/>
          <w:lang w:eastAsia="cs-CZ"/>
        </w:rPr>
        <w:t xml:space="preserve">známení podá nejprve interně u </w:t>
      </w:r>
      <w:r w:rsidR="009613F7">
        <w:rPr>
          <w:rFonts w:ascii="Times New Roman" w:eastAsia="Times New Roman" w:hAnsi="Times New Roman" w:cs="Times New Roman"/>
          <w:sz w:val="24"/>
          <w:szCs w:val="24"/>
          <w:lang w:eastAsia="cs-CZ"/>
        </w:rPr>
        <w:t xml:space="preserve">jednoho z </w:t>
      </w:r>
      <w:r w:rsidR="009613F7">
        <w:rPr>
          <w:rStyle w:val="Siln"/>
          <w:rFonts w:ascii="Times New Roman" w:hAnsi="Times New Roman" w:cs="Times New Roman"/>
          <w:b w:val="0"/>
          <w:sz w:val="24"/>
          <w:szCs w:val="24"/>
          <w:bdr w:val="none" w:sz="0" w:space="0" w:color="auto" w:frame="1"/>
          <w:shd w:val="clear" w:color="auto" w:fill="FFFFFF"/>
        </w:rPr>
        <w:t xml:space="preserve">povinných subjektů, </w:t>
      </w:r>
      <w:r w:rsidR="009613F7">
        <w:rPr>
          <w:rFonts w:ascii="Times New Roman" w:eastAsia="Times New Roman" w:hAnsi="Times New Roman" w:cs="Times New Roman"/>
          <w:sz w:val="24"/>
          <w:szCs w:val="24"/>
          <w:lang w:eastAsia="cs-CZ"/>
        </w:rPr>
        <w:t>pro který oznamovatel</w:t>
      </w:r>
      <w:r w:rsidR="009613F7" w:rsidRPr="00880BB0">
        <w:rPr>
          <w:rFonts w:ascii="Times New Roman" w:eastAsia="Times New Roman" w:hAnsi="Times New Roman" w:cs="Times New Roman"/>
          <w:sz w:val="24"/>
          <w:szCs w:val="24"/>
          <w:lang w:eastAsia="cs-CZ"/>
        </w:rPr>
        <w:t xml:space="preserve"> </w:t>
      </w:r>
      <w:r w:rsidR="009613F7">
        <w:rPr>
          <w:rFonts w:ascii="Times New Roman" w:eastAsia="Times New Roman" w:hAnsi="Times New Roman" w:cs="Times New Roman"/>
          <w:sz w:val="24"/>
          <w:szCs w:val="24"/>
          <w:lang w:eastAsia="cs-CZ"/>
        </w:rPr>
        <w:t>(</w:t>
      </w:r>
      <w:r w:rsidR="009613F7" w:rsidRPr="00880BB0">
        <w:rPr>
          <w:rFonts w:ascii="Times New Roman" w:eastAsia="Times New Roman" w:hAnsi="Times New Roman" w:cs="Times New Roman"/>
          <w:sz w:val="24"/>
          <w:szCs w:val="24"/>
          <w:lang w:eastAsia="cs-CZ"/>
        </w:rPr>
        <w:t>byť zprostředkovaně</w:t>
      </w:r>
      <w:r w:rsidR="009613F7">
        <w:rPr>
          <w:rFonts w:ascii="Times New Roman" w:eastAsia="Times New Roman" w:hAnsi="Times New Roman" w:cs="Times New Roman"/>
          <w:sz w:val="24"/>
          <w:szCs w:val="24"/>
          <w:lang w:eastAsia="cs-CZ"/>
        </w:rPr>
        <w:t>)</w:t>
      </w:r>
      <w:r w:rsidR="009613F7" w:rsidRPr="00880BB0">
        <w:rPr>
          <w:rFonts w:ascii="Times New Roman" w:eastAsia="Times New Roman" w:hAnsi="Times New Roman" w:cs="Times New Roman"/>
          <w:sz w:val="24"/>
          <w:szCs w:val="24"/>
          <w:lang w:eastAsia="cs-CZ"/>
        </w:rPr>
        <w:t>, </w:t>
      </w:r>
      <w:r w:rsidR="009613F7" w:rsidRPr="009613F7">
        <w:rPr>
          <w:rFonts w:ascii="Times New Roman" w:eastAsia="Times New Roman" w:hAnsi="Times New Roman" w:cs="Times New Roman"/>
          <w:bCs/>
          <w:sz w:val="24"/>
          <w:szCs w:val="24"/>
          <w:lang w:eastAsia="cs-CZ"/>
        </w:rPr>
        <w:t>vykonával nebo vykonává práci nebo jinou obdobnou činnost</w:t>
      </w:r>
      <w:r w:rsidR="009613F7" w:rsidRPr="009613F7">
        <w:rPr>
          <w:rFonts w:ascii="Times New Roman" w:eastAsia="Times New Roman" w:hAnsi="Times New Roman" w:cs="Times New Roman"/>
          <w:sz w:val="24"/>
          <w:szCs w:val="24"/>
          <w:lang w:eastAsia="cs-CZ"/>
        </w:rPr>
        <w:t>, nebo u osoby, se kterou oznamovatel </w:t>
      </w:r>
      <w:r w:rsidR="009613F7" w:rsidRPr="009613F7">
        <w:rPr>
          <w:rFonts w:ascii="Times New Roman" w:eastAsia="Times New Roman" w:hAnsi="Times New Roman" w:cs="Times New Roman"/>
          <w:bCs/>
          <w:sz w:val="24"/>
          <w:szCs w:val="24"/>
          <w:lang w:eastAsia="cs-CZ"/>
        </w:rPr>
        <w:t>byl nebo je v kontaktu v souvislosti s výkonem práce nebo jiné obdobné činnosti</w:t>
      </w:r>
      <w:r w:rsidR="009613F7" w:rsidRPr="00880BB0">
        <w:rPr>
          <w:rFonts w:ascii="Times New Roman" w:eastAsia="Times New Roman" w:hAnsi="Times New Roman" w:cs="Times New Roman"/>
          <w:sz w:val="24"/>
          <w:szCs w:val="24"/>
          <w:lang w:eastAsia="cs-CZ"/>
        </w:rPr>
        <w:t xml:space="preserve"> </w:t>
      </w:r>
      <w:r w:rsidRPr="00880BB0">
        <w:rPr>
          <w:rFonts w:ascii="Times New Roman" w:eastAsia="Times New Roman" w:hAnsi="Times New Roman" w:cs="Times New Roman"/>
          <w:sz w:val="24"/>
          <w:szCs w:val="24"/>
          <w:lang w:eastAsia="cs-CZ"/>
        </w:rPr>
        <w:t>(</w:t>
      </w:r>
      <w:r w:rsidR="002A183E" w:rsidRPr="00880BB0">
        <w:rPr>
          <w:rFonts w:ascii="Times New Roman" w:eastAsia="Times New Roman" w:hAnsi="Times New Roman" w:cs="Times New Roman"/>
          <w:sz w:val="24"/>
          <w:szCs w:val="24"/>
          <w:lang w:eastAsia="cs-CZ"/>
        </w:rPr>
        <w:t xml:space="preserve">viz níže </w:t>
      </w:r>
      <w:r w:rsidR="001E3E90" w:rsidRPr="00880BB0">
        <w:rPr>
          <w:rFonts w:ascii="Times New Roman" w:eastAsia="Times New Roman" w:hAnsi="Times New Roman" w:cs="Times New Roman"/>
          <w:sz w:val="24"/>
          <w:szCs w:val="24"/>
          <w:lang w:eastAsia="cs-CZ"/>
        </w:rPr>
        <w:t>bod č. 4</w:t>
      </w:r>
      <w:r w:rsidRPr="00880BB0">
        <w:rPr>
          <w:rFonts w:ascii="Times New Roman" w:eastAsia="Times New Roman" w:hAnsi="Times New Roman" w:cs="Times New Roman"/>
          <w:sz w:val="24"/>
          <w:szCs w:val="24"/>
          <w:lang w:eastAsia="cs-CZ"/>
        </w:rPr>
        <w:t xml:space="preserve">), u níž k protiprávnímu jednání dochází. Takovýto postup bude zpravidla oboustranně výhodný. </w:t>
      </w:r>
      <w:r w:rsidR="009613F7">
        <w:rPr>
          <w:rStyle w:val="Siln"/>
          <w:rFonts w:ascii="Times New Roman" w:hAnsi="Times New Roman" w:cs="Times New Roman"/>
          <w:sz w:val="24"/>
          <w:szCs w:val="24"/>
          <w:bdr w:val="none" w:sz="0" w:space="0" w:color="auto" w:frame="1"/>
          <w:shd w:val="clear" w:color="auto" w:fill="FFFFFF"/>
        </w:rPr>
        <w:t>Povinné subjekty</w:t>
      </w:r>
      <w:r w:rsidR="001B1EFA">
        <w:rPr>
          <w:rFonts w:ascii="Times New Roman" w:hAnsi="Times New Roman" w:cs="Times New Roman"/>
          <w:b/>
          <w:color w:val="333333"/>
          <w:shd w:val="clear" w:color="auto" w:fill="FFFFFF"/>
        </w:rPr>
        <w:t xml:space="preserve"> </w:t>
      </w:r>
      <w:r w:rsidR="009613F7">
        <w:rPr>
          <w:rFonts w:ascii="Times New Roman" w:eastAsia="Times New Roman" w:hAnsi="Times New Roman" w:cs="Times New Roman"/>
          <w:sz w:val="24"/>
          <w:szCs w:val="24"/>
          <w:lang w:eastAsia="cs-CZ"/>
        </w:rPr>
        <w:t xml:space="preserve">mají </w:t>
      </w:r>
      <w:r w:rsidRPr="00880BB0">
        <w:rPr>
          <w:rFonts w:ascii="Times New Roman" w:eastAsia="Times New Roman" w:hAnsi="Times New Roman" w:cs="Times New Roman"/>
          <w:sz w:val="24"/>
          <w:szCs w:val="24"/>
          <w:lang w:eastAsia="cs-CZ"/>
        </w:rPr>
        <w:t>možnost na zjištěná podezření bezprostředně reagovat efektivněji nežli orgány veřejné moci a zabránit tak např. hmotným škodám či poškození své dobré pověsti. Tento postup by měl být výhodný i pro oznamovatele, který v ideálním případě dosáhne rychlého vyřešení problému.</w:t>
      </w:r>
    </w:p>
    <w:p w14:paraId="646E56D7" w14:textId="77777777" w:rsidR="00AF4710" w:rsidRPr="00880BB0" w:rsidRDefault="00AF4710" w:rsidP="00880BB0">
      <w:pPr>
        <w:shd w:val="clear" w:color="auto" w:fill="FFFFFF"/>
        <w:spacing w:after="300" w:line="276" w:lineRule="auto"/>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sz w:val="24"/>
          <w:szCs w:val="24"/>
          <w:lang w:eastAsia="cs-CZ"/>
        </w:rPr>
        <w:t>V případě, že takovýto interní oznamovací kanál není funkční (např. se oznamovatel domnívá, že jeho oznámení nebude prošetřeno, nebude ochráněna jeho identita, hrozila by mu odvetná opatření atd.), bude pro oznamovatele výhodnější podat oznámení přímo prostřednictvím tzv. externího oznamovacího systému, který zřizuje </w:t>
      </w:r>
      <w:hyperlink r:id="rId5" w:history="1">
        <w:r w:rsidRPr="00880BB0">
          <w:rPr>
            <w:rFonts w:ascii="Times New Roman" w:eastAsia="Times New Roman" w:hAnsi="Times New Roman" w:cs="Times New Roman"/>
            <w:sz w:val="24"/>
            <w:szCs w:val="24"/>
            <w:lang w:eastAsia="cs-CZ"/>
          </w:rPr>
          <w:t>Ministerstvo spravedlnosti</w:t>
        </w:r>
      </w:hyperlink>
      <w:r w:rsidRPr="00880BB0">
        <w:rPr>
          <w:rFonts w:ascii="Times New Roman" w:eastAsia="Times New Roman" w:hAnsi="Times New Roman" w:cs="Times New Roman"/>
          <w:sz w:val="24"/>
          <w:szCs w:val="24"/>
          <w:lang w:eastAsia="cs-CZ"/>
        </w:rPr>
        <w:t>. </w:t>
      </w:r>
      <w:r w:rsidRPr="00880BB0">
        <w:rPr>
          <w:rFonts w:ascii="Times New Roman" w:eastAsia="Times New Roman" w:hAnsi="Times New Roman" w:cs="Times New Roman"/>
          <w:b/>
          <w:bCs/>
          <w:sz w:val="24"/>
          <w:szCs w:val="24"/>
          <w:lang w:eastAsia="cs-CZ"/>
        </w:rPr>
        <w:t>Podání oznámení ministerstvu není podmíněno prvotním podáním oznámení prostřednictvím interního oznamovacího systému. Je zcela na rozhodnutí oznamovatele, jaký postup zvolí.</w:t>
      </w:r>
    </w:p>
    <w:p w14:paraId="780673D5" w14:textId="77777777" w:rsidR="00AF4710" w:rsidRPr="00880BB0" w:rsidRDefault="002A183E" w:rsidP="00880BB0">
      <w:pPr>
        <w:spacing w:line="276" w:lineRule="auto"/>
        <w:jc w:val="both"/>
        <w:rPr>
          <w:rFonts w:ascii="Times New Roman" w:hAnsi="Times New Roman" w:cs="Times New Roman"/>
          <w:sz w:val="24"/>
          <w:szCs w:val="24"/>
          <w:u w:val="single"/>
        </w:rPr>
      </w:pPr>
      <w:r w:rsidRPr="00880BB0">
        <w:rPr>
          <w:rFonts w:ascii="Times New Roman" w:hAnsi="Times New Roman" w:cs="Times New Roman"/>
          <w:sz w:val="24"/>
          <w:szCs w:val="24"/>
          <w:u w:val="single"/>
        </w:rPr>
        <w:t>4. Jakým způsobem lze protiprávní jednání ohlásit?</w:t>
      </w:r>
    </w:p>
    <w:p w14:paraId="2A96AAA4" w14:textId="6172F046" w:rsidR="001E3E90" w:rsidRPr="00922930" w:rsidRDefault="001E3E90" w:rsidP="00880BB0">
      <w:pPr>
        <w:spacing w:line="276" w:lineRule="auto"/>
        <w:jc w:val="both"/>
        <w:rPr>
          <w:rFonts w:ascii="Times New Roman" w:hAnsi="Times New Roman" w:cs="Times New Roman"/>
          <w:sz w:val="24"/>
          <w:szCs w:val="24"/>
          <w:shd w:val="clear" w:color="auto" w:fill="FFFFFF"/>
        </w:rPr>
      </w:pPr>
      <w:r w:rsidRPr="00922930">
        <w:rPr>
          <w:rFonts w:ascii="Times New Roman" w:hAnsi="Times New Roman" w:cs="Times New Roman"/>
          <w:b/>
          <w:sz w:val="24"/>
          <w:szCs w:val="24"/>
          <w:shd w:val="clear" w:color="auto" w:fill="FFFFFF"/>
        </w:rPr>
        <w:t>Oznamovatel může o</w:t>
      </w:r>
      <w:r w:rsidR="00B379DA" w:rsidRPr="00922930">
        <w:rPr>
          <w:rFonts w:ascii="Times New Roman" w:hAnsi="Times New Roman" w:cs="Times New Roman"/>
          <w:b/>
          <w:sz w:val="24"/>
          <w:szCs w:val="24"/>
          <w:shd w:val="clear" w:color="auto" w:fill="FFFFFF"/>
        </w:rPr>
        <w:t>známení podat u příslušné osoby -</w:t>
      </w:r>
      <w:r w:rsidRPr="00922930">
        <w:rPr>
          <w:rFonts w:ascii="Times New Roman" w:hAnsi="Times New Roman" w:cs="Times New Roman"/>
          <w:sz w:val="24"/>
          <w:szCs w:val="24"/>
          <w:shd w:val="clear" w:color="auto" w:fill="FFFFFF"/>
        </w:rPr>
        <w:t xml:space="preserve"> </w:t>
      </w:r>
      <w:r w:rsidRPr="00922930">
        <w:rPr>
          <w:rFonts w:ascii="Times New Roman" w:hAnsi="Times New Roman" w:cs="Times New Roman"/>
          <w:b/>
          <w:sz w:val="24"/>
          <w:szCs w:val="24"/>
          <w:shd w:val="clear" w:color="auto" w:fill="FFFFFF"/>
        </w:rPr>
        <w:t>JUDr. Víta Rybáře</w:t>
      </w:r>
      <w:r w:rsidRPr="00922930">
        <w:rPr>
          <w:rFonts w:ascii="Times New Roman" w:hAnsi="Times New Roman" w:cs="Times New Roman"/>
          <w:sz w:val="24"/>
          <w:szCs w:val="24"/>
          <w:shd w:val="clear" w:color="auto" w:fill="FFFFFF"/>
        </w:rPr>
        <w:t>, advokáta, se sídlem 28. října 1610/95, 702 00 Ostrava</w:t>
      </w:r>
      <w:r w:rsidR="00B379DA" w:rsidRPr="00922930">
        <w:rPr>
          <w:rFonts w:ascii="Times New Roman" w:hAnsi="Times New Roman" w:cs="Times New Roman"/>
          <w:sz w:val="24"/>
          <w:szCs w:val="24"/>
          <w:shd w:val="clear" w:color="auto" w:fill="FFFFFF"/>
        </w:rPr>
        <w:t xml:space="preserve"> (dále jen „příslušná osoba)</w:t>
      </w:r>
      <w:r w:rsidRPr="00922930">
        <w:rPr>
          <w:rFonts w:ascii="Times New Roman" w:hAnsi="Times New Roman" w:cs="Times New Roman"/>
          <w:sz w:val="24"/>
          <w:szCs w:val="24"/>
          <w:shd w:val="clear" w:color="auto" w:fill="FFFFFF"/>
        </w:rPr>
        <w:t xml:space="preserve">, a to písemně na e-mailové adrese </w:t>
      </w:r>
      <w:hyperlink r:id="rId6" w:history="1">
        <w:r w:rsidRPr="00922930">
          <w:rPr>
            <w:rStyle w:val="Hypertextovodkaz"/>
            <w:rFonts w:ascii="Times New Roman" w:hAnsi="Times New Roman" w:cs="Times New Roman"/>
            <w:color w:val="auto"/>
            <w:sz w:val="24"/>
            <w:szCs w:val="24"/>
            <w:shd w:val="clear" w:color="auto" w:fill="FFFFFF"/>
          </w:rPr>
          <w:t>rybar@rklegal.cz</w:t>
        </w:r>
      </w:hyperlink>
      <w:r w:rsidRPr="00922930">
        <w:rPr>
          <w:rFonts w:ascii="Times New Roman" w:hAnsi="Times New Roman" w:cs="Times New Roman"/>
          <w:sz w:val="24"/>
          <w:szCs w:val="24"/>
          <w:shd w:val="clear" w:color="auto" w:fill="FFFFFF"/>
        </w:rPr>
        <w:t>, na tel. čísle</w:t>
      </w:r>
      <w:r w:rsidR="00B379DA" w:rsidRPr="00922930">
        <w:rPr>
          <w:rFonts w:ascii="Times New Roman" w:hAnsi="Times New Roman" w:cs="Times New Roman"/>
          <w:sz w:val="24"/>
          <w:szCs w:val="24"/>
          <w:shd w:val="clear" w:color="auto" w:fill="FFFFFF"/>
        </w:rPr>
        <w:t xml:space="preserve">: </w:t>
      </w:r>
      <w:hyperlink r:id="rId7" w:history="1">
        <w:r w:rsidR="00922930" w:rsidRPr="00922930">
          <w:rPr>
            <w:rStyle w:val="Hypertextovodkaz"/>
            <w:rFonts w:ascii="Times New Roman" w:hAnsi="Times New Roman" w:cs="Times New Roman"/>
            <w:color w:val="auto"/>
            <w:sz w:val="24"/>
            <w:szCs w:val="24"/>
            <w:u w:val="none"/>
            <w:shd w:val="clear" w:color="auto" w:fill="F8F8F8"/>
          </w:rPr>
          <w:t>774 329 929</w:t>
        </w:r>
      </w:hyperlink>
      <w:r w:rsidR="00B379DA" w:rsidRPr="00922930">
        <w:rPr>
          <w:rFonts w:ascii="Times New Roman" w:hAnsi="Times New Roman" w:cs="Times New Roman"/>
          <w:sz w:val="24"/>
          <w:szCs w:val="24"/>
          <w:shd w:val="clear" w:color="auto" w:fill="FFFFFF"/>
        </w:rPr>
        <w:t>, příp. osobně na adrese jeho sídla po předchozí domluvě do 14 dnů od kontaktování</w:t>
      </w:r>
      <w:r w:rsidR="00D94757">
        <w:rPr>
          <w:rFonts w:ascii="Times New Roman" w:hAnsi="Times New Roman" w:cs="Times New Roman"/>
          <w:sz w:val="24"/>
          <w:szCs w:val="24"/>
          <w:shd w:val="clear" w:color="auto" w:fill="FFFFFF"/>
        </w:rPr>
        <w:t>.</w:t>
      </w:r>
      <w:r w:rsidRPr="00922930">
        <w:rPr>
          <w:rFonts w:ascii="Times New Roman" w:hAnsi="Times New Roman" w:cs="Times New Roman"/>
          <w:sz w:val="24"/>
          <w:szCs w:val="24"/>
          <w:shd w:val="clear" w:color="auto" w:fill="FFFFFF"/>
        </w:rPr>
        <w:t xml:space="preserve"> </w:t>
      </w:r>
    </w:p>
    <w:p w14:paraId="711D1D95" w14:textId="77777777" w:rsidR="002A02C4" w:rsidRPr="00922930" w:rsidRDefault="002A183E" w:rsidP="00880BB0">
      <w:pPr>
        <w:spacing w:line="276" w:lineRule="auto"/>
        <w:jc w:val="both"/>
        <w:rPr>
          <w:rFonts w:ascii="Times New Roman" w:hAnsi="Times New Roman" w:cs="Times New Roman"/>
          <w:sz w:val="24"/>
          <w:szCs w:val="24"/>
          <w:shd w:val="clear" w:color="auto" w:fill="FFFFFF"/>
        </w:rPr>
      </w:pPr>
      <w:r w:rsidRPr="00922930">
        <w:rPr>
          <w:rFonts w:ascii="Times New Roman" w:hAnsi="Times New Roman" w:cs="Times New Roman"/>
          <w:sz w:val="24"/>
          <w:szCs w:val="24"/>
          <w:shd w:val="clear" w:color="auto" w:fill="FFFFFF"/>
        </w:rPr>
        <w:t>Ministerstvu spravedlnosti lze oznámení podat rovněž výše uvedenými způsoby a na </w:t>
      </w:r>
      <w:hyperlink r:id="rId8" w:history="1">
        <w:r w:rsidRPr="00922930">
          <w:rPr>
            <w:rStyle w:val="Hypertextovodkaz"/>
            <w:rFonts w:ascii="Times New Roman" w:hAnsi="Times New Roman" w:cs="Times New Roman"/>
            <w:color w:val="auto"/>
            <w:sz w:val="24"/>
            <w:szCs w:val="24"/>
            <w:shd w:val="clear" w:color="auto" w:fill="FFFFFF"/>
          </w:rPr>
          <w:t>https://oznamovatel.justice.cz/chci-podat-oznameni/</w:t>
        </w:r>
      </w:hyperlink>
      <w:r w:rsidRPr="00922930">
        <w:rPr>
          <w:rFonts w:ascii="Times New Roman" w:hAnsi="Times New Roman" w:cs="Times New Roman"/>
          <w:sz w:val="24"/>
          <w:szCs w:val="24"/>
          <w:shd w:val="clear" w:color="auto" w:fill="FFFFFF"/>
        </w:rPr>
        <w:t>.</w:t>
      </w:r>
    </w:p>
    <w:p w14:paraId="0504CC54" w14:textId="77777777" w:rsidR="002A183E" w:rsidRPr="00880BB0" w:rsidRDefault="00B379DA" w:rsidP="00880BB0">
      <w:pPr>
        <w:spacing w:line="276" w:lineRule="auto"/>
        <w:jc w:val="both"/>
        <w:rPr>
          <w:rFonts w:ascii="Times New Roman" w:hAnsi="Times New Roman" w:cs="Times New Roman"/>
          <w:sz w:val="24"/>
          <w:szCs w:val="24"/>
          <w:u w:val="single"/>
        </w:rPr>
      </w:pPr>
      <w:r w:rsidRPr="00880BB0">
        <w:rPr>
          <w:rFonts w:ascii="Times New Roman" w:hAnsi="Times New Roman" w:cs="Times New Roman"/>
          <w:sz w:val="24"/>
          <w:szCs w:val="24"/>
          <w:u w:val="single"/>
        </w:rPr>
        <w:t>5. Lze podat anonymní oznámení?</w:t>
      </w:r>
    </w:p>
    <w:p w14:paraId="241F54E9" w14:textId="3150F02C" w:rsidR="002A02C4" w:rsidRPr="0025024E" w:rsidRDefault="002A02C4" w:rsidP="00880BB0">
      <w:pPr>
        <w:spacing w:line="276" w:lineRule="auto"/>
        <w:jc w:val="both"/>
        <w:rPr>
          <w:rFonts w:ascii="Times New Roman" w:hAnsi="Times New Roman" w:cs="Times New Roman"/>
          <w:bCs/>
          <w:color w:val="000000"/>
          <w:sz w:val="24"/>
          <w:szCs w:val="24"/>
          <w:shd w:val="clear" w:color="auto" w:fill="FFFFFF"/>
        </w:rPr>
      </w:pPr>
      <w:r w:rsidRPr="00880BB0">
        <w:rPr>
          <w:rFonts w:ascii="Times New Roman" w:hAnsi="Times New Roman" w:cs="Times New Roman"/>
          <w:color w:val="000000"/>
          <w:sz w:val="24"/>
          <w:szCs w:val="24"/>
          <w:shd w:val="clear" w:color="auto" w:fill="FFFFFF"/>
        </w:rPr>
        <w:t xml:space="preserve">Aby byl oznamovatel dle zákona o ochraně oznamovatelů chráněn, musí </w:t>
      </w:r>
      <w:r w:rsidRPr="00880BB0">
        <w:rPr>
          <w:rFonts w:ascii="Times New Roman" w:hAnsi="Times New Roman" w:cs="Times New Roman"/>
          <w:b/>
          <w:color w:val="000000"/>
          <w:sz w:val="24"/>
          <w:szCs w:val="24"/>
          <w:shd w:val="clear" w:color="auto" w:fill="FFFFFF"/>
        </w:rPr>
        <w:t>oznámení obsahovat údaje o jménu, příjmení a datu narození, nebo jiné údaje, z nichž je možné dovodit totožnost oznamovatele</w:t>
      </w:r>
      <w:r w:rsidRPr="00880BB0">
        <w:rPr>
          <w:rFonts w:ascii="Times New Roman" w:hAnsi="Times New Roman" w:cs="Times New Roman"/>
          <w:color w:val="000000"/>
          <w:sz w:val="24"/>
          <w:szCs w:val="24"/>
          <w:shd w:val="clear" w:color="auto" w:fill="FFFFFF"/>
        </w:rPr>
        <w:t>. </w:t>
      </w:r>
      <w:r w:rsidR="006D07EE">
        <w:rPr>
          <w:rStyle w:val="Siln"/>
          <w:rFonts w:ascii="Times New Roman" w:hAnsi="Times New Roman" w:cs="Times New Roman"/>
          <w:sz w:val="24"/>
          <w:szCs w:val="24"/>
          <w:bdr w:val="none" w:sz="0" w:space="0" w:color="auto" w:frame="1"/>
          <w:shd w:val="clear" w:color="auto" w:fill="FFFFFF"/>
        </w:rPr>
        <w:t>Povinné subjekty</w:t>
      </w:r>
      <w:r w:rsidR="001B1EFA">
        <w:rPr>
          <w:rFonts w:ascii="Times New Roman" w:hAnsi="Times New Roman" w:cs="Times New Roman"/>
          <w:b/>
          <w:color w:val="333333"/>
          <w:shd w:val="clear" w:color="auto" w:fill="FFFFFF"/>
        </w:rPr>
        <w:t xml:space="preserve"> </w:t>
      </w:r>
      <w:r w:rsidR="006D07EE">
        <w:rPr>
          <w:rFonts w:ascii="Times New Roman" w:eastAsia="Times New Roman" w:hAnsi="Times New Roman" w:cs="Times New Roman"/>
          <w:b/>
          <w:sz w:val="24"/>
          <w:szCs w:val="24"/>
          <w:lang w:eastAsia="cs-CZ"/>
        </w:rPr>
        <w:t>nebudou</w:t>
      </w:r>
      <w:r w:rsidRPr="0025024E">
        <w:rPr>
          <w:rFonts w:ascii="Times New Roman" w:eastAsia="Times New Roman" w:hAnsi="Times New Roman" w:cs="Times New Roman"/>
          <w:b/>
          <w:sz w:val="24"/>
          <w:szCs w:val="24"/>
          <w:lang w:eastAsia="cs-CZ"/>
        </w:rPr>
        <w:t xml:space="preserve"> přijímat a prošetřovat anonymní oznámení</w:t>
      </w:r>
      <w:r w:rsidR="0025024E">
        <w:rPr>
          <w:rFonts w:ascii="Times New Roman" w:eastAsia="Times New Roman" w:hAnsi="Times New Roman" w:cs="Times New Roman"/>
          <w:b/>
          <w:sz w:val="24"/>
          <w:szCs w:val="24"/>
          <w:lang w:eastAsia="cs-CZ"/>
        </w:rPr>
        <w:t>!</w:t>
      </w:r>
      <w:r w:rsidRPr="0025024E">
        <w:rPr>
          <w:rFonts w:ascii="Times New Roman" w:eastAsia="Times New Roman" w:hAnsi="Times New Roman" w:cs="Times New Roman"/>
          <w:bCs/>
          <w:sz w:val="24"/>
          <w:szCs w:val="24"/>
          <w:lang w:eastAsia="cs-CZ"/>
        </w:rPr>
        <w:t xml:space="preserve"> </w:t>
      </w:r>
    </w:p>
    <w:p w14:paraId="6109306E" w14:textId="77777777" w:rsidR="00B379DA" w:rsidRPr="00880BB0" w:rsidRDefault="002A02C4" w:rsidP="00880BB0">
      <w:pPr>
        <w:spacing w:line="276" w:lineRule="auto"/>
        <w:jc w:val="both"/>
        <w:rPr>
          <w:rFonts w:ascii="Times New Roman" w:hAnsi="Times New Roman" w:cs="Times New Roman"/>
          <w:sz w:val="24"/>
          <w:szCs w:val="24"/>
          <w:u w:val="single"/>
        </w:rPr>
      </w:pPr>
      <w:r w:rsidRPr="00880BB0">
        <w:rPr>
          <w:rFonts w:ascii="Times New Roman" w:hAnsi="Times New Roman" w:cs="Times New Roman"/>
          <w:sz w:val="24"/>
          <w:szCs w:val="24"/>
          <w:u w:val="single"/>
        </w:rPr>
        <w:t>6. Ochrana oznamovatelů před „odvetnými“ opatřeními</w:t>
      </w:r>
    </w:p>
    <w:p w14:paraId="3893D83C" w14:textId="77777777" w:rsidR="002A02C4" w:rsidRPr="002A02C4" w:rsidRDefault="002A02C4" w:rsidP="00880BB0">
      <w:pPr>
        <w:spacing w:after="300" w:line="276" w:lineRule="auto"/>
        <w:jc w:val="both"/>
        <w:rPr>
          <w:rFonts w:ascii="Times New Roman" w:eastAsia="Times New Roman" w:hAnsi="Times New Roman" w:cs="Times New Roman"/>
          <w:sz w:val="24"/>
          <w:szCs w:val="24"/>
          <w:lang w:eastAsia="cs-CZ"/>
        </w:rPr>
      </w:pPr>
      <w:r w:rsidRPr="00880BB0">
        <w:rPr>
          <w:rFonts w:ascii="Times New Roman" w:eastAsia="Times New Roman" w:hAnsi="Times New Roman" w:cs="Times New Roman"/>
          <w:b/>
          <w:bCs/>
          <w:sz w:val="24"/>
          <w:szCs w:val="24"/>
          <w:lang w:eastAsia="cs-CZ"/>
        </w:rPr>
        <w:lastRenderedPageBreak/>
        <w:t>Zákon zakazuje uplatnit vůči oznamovateli či jiné chráněné osobě jakékoliv odvetné opatření</w:t>
      </w:r>
      <w:r w:rsidRPr="002A02C4">
        <w:rPr>
          <w:rFonts w:ascii="Times New Roman" w:eastAsia="Times New Roman" w:hAnsi="Times New Roman" w:cs="Times New Roman"/>
          <w:sz w:val="24"/>
          <w:szCs w:val="24"/>
          <w:lang w:eastAsia="cs-CZ"/>
        </w:rPr>
        <w:t>. Tedy takové jednání nebo jeho opomenutí v souvislosti s prací nebo jinou obdobnou činností oznamovatele, které bylo vyvoláno učiněním oznámení a které oznamovateli nebo jiné chráněné osobě může způsobit újmu (§ 4 zákona o ochraně oznamovatelů). Zaměstnavatel, pro kterého oznamovatel vykonává práci nebo jinou obdobnou činnost, nesmí umožnit, aby oznamovatel nebo jiná chráněná osoba byli vystaveni odvetnému opatření.</w:t>
      </w:r>
    </w:p>
    <w:p w14:paraId="1ADB3B55" w14:textId="77777777" w:rsidR="007443CA" w:rsidRPr="00880BB0" w:rsidRDefault="002A02C4" w:rsidP="00880BB0">
      <w:pPr>
        <w:spacing w:line="276" w:lineRule="auto"/>
        <w:jc w:val="both"/>
        <w:rPr>
          <w:rFonts w:ascii="Times New Roman" w:eastAsia="Times New Roman" w:hAnsi="Times New Roman" w:cs="Times New Roman"/>
          <w:sz w:val="24"/>
          <w:szCs w:val="24"/>
          <w:u w:val="single"/>
          <w:lang w:eastAsia="cs-CZ"/>
        </w:rPr>
      </w:pPr>
      <w:r w:rsidRPr="00880BB0">
        <w:rPr>
          <w:rFonts w:ascii="Times New Roman" w:eastAsia="Times New Roman" w:hAnsi="Times New Roman" w:cs="Times New Roman"/>
          <w:sz w:val="24"/>
          <w:szCs w:val="24"/>
          <w:u w:val="single"/>
          <w:lang w:eastAsia="cs-CZ"/>
        </w:rPr>
        <w:t>7. Kdo nesmí být vystaven odvetnému opatření?</w:t>
      </w:r>
    </w:p>
    <w:p w14:paraId="677FF4EF" w14:textId="77777777" w:rsidR="007443CA" w:rsidRPr="007443CA" w:rsidRDefault="007443CA" w:rsidP="00880BB0">
      <w:pPr>
        <w:shd w:val="clear" w:color="auto" w:fill="FFFFFF"/>
        <w:spacing w:after="300" w:line="276" w:lineRule="auto"/>
        <w:jc w:val="both"/>
        <w:rPr>
          <w:rFonts w:ascii="Times New Roman" w:eastAsia="Times New Roman" w:hAnsi="Times New Roman" w:cs="Times New Roman"/>
          <w:sz w:val="24"/>
          <w:szCs w:val="24"/>
          <w:lang w:eastAsia="cs-CZ"/>
        </w:rPr>
      </w:pPr>
      <w:r w:rsidRPr="007443CA">
        <w:rPr>
          <w:rFonts w:ascii="Times New Roman" w:eastAsia="Times New Roman" w:hAnsi="Times New Roman" w:cs="Times New Roman"/>
          <w:sz w:val="24"/>
          <w:szCs w:val="24"/>
          <w:lang w:eastAsia="cs-CZ"/>
        </w:rPr>
        <w:t>Odvetnému opatření nesmí být vystaven oznamovatel ani</w:t>
      </w:r>
    </w:p>
    <w:p w14:paraId="32E4527C" w14:textId="77777777" w:rsidR="007443CA" w:rsidRPr="007443CA" w:rsidRDefault="007443CA" w:rsidP="00880BB0">
      <w:pPr>
        <w:numPr>
          <w:ilvl w:val="0"/>
          <w:numId w:val="4"/>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7443CA">
        <w:rPr>
          <w:rFonts w:ascii="Times New Roman" w:eastAsia="Times New Roman" w:hAnsi="Times New Roman" w:cs="Times New Roman"/>
          <w:sz w:val="24"/>
          <w:szCs w:val="24"/>
          <w:lang w:eastAsia="cs-CZ"/>
        </w:rPr>
        <w:t>osoba, která poskytla pomoc při zjišťování informací, které jsou obsahem oznámení, podání oznámení nebo posouzení jeho důvodnosti,</w:t>
      </w:r>
    </w:p>
    <w:p w14:paraId="7C3D3AD5" w14:textId="77777777" w:rsidR="007443CA" w:rsidRPr="007443CA" w:rsidRDefault="007443CA" w:rsidP="00880BB0">
      <w:pPr>
        <w:numPr>
          <w:ilvl w:val="0"/>
          <w:numId w:val="4"/>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7443CA">
        <w:rPr>
          <w:rFonts w:ascii="Times New Roman" w:eastAsia="Times New Roman" w:hAnsi="Times New Roman" w:cs="Times New Roman"/>
          <w:sz w:val="24"/>
          <w:szCs w:val="24"/>
          <w:lang w:eastAsia="cs-CZ"/>
        </w:rPr>
        <w:t>osoba, která je ve vztahu k oznamovateli osobou blízkou,</w:t>
      </w:r>
    </w:p>
    <w:p w14:paraId="5406EAC6" w14:textId="77777777" w:rsidR="007443CA" w:rsidRPr="007443CA" w:rsidRDefault="007443CA" w:rsidP="00880BB0">
      <w:pPr>
        <w:numPr>
          <w:ilvl w:val="0"/>
          <w:numId w:val="4"/>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7443CA">
        <w:rPr>
          <w:rFonts w:ascii="Times New Roman" w:eastAsia="Times New Roman" w:hAnsi="Times New Roman" w:cs="Times New Roman"/>
          <w:sz w:val="24"/>
          <w:szCs w:val="24"/>
          <w:lang w:eastAsia="cs-CZ"/>
        </w:rPr>
        <w:t>osoba, která je zaměstnancem nebo kolegou oznamovatele,</w:t>
      </w:r>
    </w:p>
    <w:p w14:paraId="28698F43" w14:textId="77777777" w:rsidR="007443CA" w:rsidRPr="007443CA" w:rsidRDefault="007443CA" w:rsidP="00880BB0">
      <w:pPr>
        <w:numPr>
          <w:ilvl w:val="0"/>
          <w:numId w:val="4"/>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7443CA">
        <w:rPr>
          <w:rFonts w:ascii="Times New Roman" w:eastAsia="Times New Roman" w:hAnsi="Times New Roman" w:cs="Times New Roman"/>
          <w:sz w:val="24"/>
          <w:szCs w:val="24"/>
          <w:lang w:eastAsia="cs-CZ"/>
        </w:rPr>
        <w:t>osoba oznamovatelem ovládaná,</w:t>
      </w:r>
    </w:p>
    <w:p w14:paraId="74A9D54E" w14:textId="77777777" w:rsidR="007443CA" w:rsidRPr="007443CA" w:rsidRDefault="007443CA" w:rsidP="00880BB0">
      <w:pPr>
        <w:numPr>
          <w:ilvl w:val="0"/>
          <w:numId w:val="4"/>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7443CA">
        <w:rPr>
          <w:rFonts w:ascii="Times New Roman" w:eastAsia="Times New Roman" w:hAnsi="Times New Roman" w:cs="Times New Roman"/>
          <w:sz w:val="24"/>
          <w:szCs w:val="24"/>
          <w:lang w:eastAsia="cs-CZ"/>
        </w:rPr>
        <w:t>právnická osoba, v níž má oznamovatel účast, osoba ji ovládající, jí ovládaná osoba nebo osoba, která je s touto právnickou osobou ovládaná stejnou ovládající osobou,</w:t>
      </w:r>
    </w:p>
    <w:p w14:paraId="3268F49E" w14:textId="77777777" w:rsidR="007443CA" w:rsidRPr="007443CA" w:rsidRDefault="007443CA" w:rsidP="00880BB0">
      <w:pPr>
        <w:numPr>
          <w:ilvl w:val="0"/>
          <w:numId w:val="4"/>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7443CA">
        <w:rPr>
          <w:rFonts w:ascii="Times New Roman" w:eastAsia="Times New Roman" w:hAnsi="Times New Roman" w:cs="Times New Roman"/>
          <w:sz w:val="24"/>
          <w:szCs w:val="24"/>
          <w:lang w:eastAsia="cs-CZ"/>
        </w:rPr>
        <w:t>právnická osoba, jejíhož voleného orgánu je oznamovatel členem, osoba ovládající, ovládaná nebo osoba ovládaná stejnou ovládající osobou,</w:t>
      </w:r>
    </w:p>
    <w:p w14:paraId="7F7D1ECC" w14:textId="77777777" w:rsidR="007443CA" w:rsidRPr="007443CA" w:rsidRDefault="007443CA" w:rsidP="00880BB0">
      <w:pPr>
        <w:numPr>
          <w:ilvl w:val="0"/>
          <w:numId w:val="4"/>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7443CA">
        <w:rPr>
          <w:rFonts w:ascii="Times New Roman" w:eastAsia="Times New Roman" w:hAnsi="Times New Roman" w:cs="Times New Roman"/>
          <w:sz w:val="24"/>
          <w:szCs w:val="24"/>
          <w:lang w:eastAsia="cs-CZ"/>
        </w:rPr>
        <w:t>osoba, pro kterou oznamovatel vykonává práci nebo jinou obdobnou činnost, nebo</w:t>
      </w:r>
    </w:p>
    <w:p w14:paraId="7E136A4C" w14:textId="77777777" w:rsidR="007443CA" w:rsidRPr="007443CA" w:rsidRDefault="007443CA" w:rsidP="00880BB0">
      <w:pPr>
        <w:numPr>
          <w:ilvl w:val="0"/>
          <w:numId w:val="4"/>
        </w:numPr>
        <w:shd w:val="clear" w:color="auto" w:fill="FFFFFF"/>
        <w:spacing w:before="100" w:beforeAutospacing="1" w:after="100" w:afterAutospacing="1" w:line="276" w:lineRule="auto"/>
        <w:ind w:left="810"/>
        <w:jc w:val="both"/>
        <w:rPr>
          <w:rFonts w:ascii="Times New Roman" w:eastAsia="Times New Roman" w:hAnsi="Times New Roman" w:cs="Times New Roman"/>
          <w:sz w:val="24"/>
          <w:szCs w:val="24"/>
          <w:lang w:eastAsia="cs-CZ"/>
        </w:rPr>
      </w:pPr>
      <w:r w:rsidRPr="007443CA">
        <w:rPr>
          <w:rFonts w:ascii="Times New Roman" w:eastAsia="Times New Roman" w:hAnsi="Times New Roman" w:cs="Times New Roman"/>
          <w:sz w:val="24"/>
          <w:szCs w:val="24"/>
          <w:lang w:eastAsia="cs-CZ"/>
        </w:rPr>
        <w:t>svěřenský fond, jehož je oznamovatel nebo právnická osoba podle písmene e) nebo f) zakladatelem nebo obmyšleným nebo ve vztahu k němuž jsou oznamovatel nebo právnická osoba podle písmene e) nebo f) osobou, která podstatným způsobem zvýší majetek svěřenského fondu smlouvou nebo pořízením pro případ smrti.</w:t>
      </w:r>
    </w:p>
    <w:p w14:paraId="49E1DEEB" w14:textId="77777777" w:rsidR="007443CA" w:rsidRPr="00880BB0" w:rsidRDefault="007443CA" w:rsidP="00880BB0">
      <w:pPr>
        <w:spacing w:line="276" w:lineRule="auto"/>
        <w:jc w:val="both"/>
        <w:rPr>
          <w:rFonts w:ascii="Times New Roman" w:eastAsia="Times New Roman" w:hAnsi="Times New Roman" w:cs="Times New Roman"/>
          <w:sz w:val="24"/>
          <w:szCs w:val="24"/>
          <w:u w:val="single"/>
          <w:lang w:eastAsia="cs-CZ"/>
        </w:rPr>
      </w:pPr>
      <w:r w:rsidRPr="00880BB0">
        <w:rPr>
          <w:rFonts w:ascii="Times New Roman" w:eastAsia="Times New Roman" w:hAnsi="Times New Roman" w:cs="Times New Roman"/>
          <w:sz w:val="24"/>
          <w:szCs w:val="24"/>
          <w:u w:val="single"/>
          <w:lang w:eastAsia="cs-CZ"/>
        </w:rPr>
        <w:t>8. Jakým typům oznámení nenáleží ochrana podle zákona o ochraně oznamovatelů?</w:t>
      </w:r>
    </w:p>
    <w:p w14:paraId="7931BA34" w14:textId="77777777" w:rsidR="007443CA" w:rsidRPr="00880BB0" w:rsidRDefault="007443CA" w:rsidP="00880BB0">
      <w:pPr>
        <w:pStyle w:val="Normlnweb"/>
        <w:shd w:val="clear" w:color="auto" w:fill="FFFFFF"/>
        <w:spacing w:before="0" w:beforeAutospacing="0" w:after="300" w:afterAutospacing="0" w:line="276" w:lineRule="auto"/>
        <w:jc w:val="both"/>
      </w:pPr>
      <w:r w:rsidRPr="00880BB0">
        <w:t>Z ochrany jsou v první řadě </w:t>
      </w:r>
      <w:r w:rsidRPr="00880BB0">
        <w:rPr>
          <w:rStyle w:val="Siln"/>
        </w:rPr>
        <w:t>vyloučena vědomě nepravdivá oznámení</w:t>
      </w:r>
      <w:r w:rsidRPr="00880BB0">
        <w:t>. Tedy oznámení informací, o nichž neměl oznamovatel </w:t>
      </w:r>
      <w:r w:rsidRPr="00880BB0">
        <w:rPr>
          <w:rStyle w:val="Zdraznn"/>
        </w:rPr>
        <w:t>oprávněné důvody se domnívat, že jsou pravdivé</w:t>
      </w:r>
      <w:r w:rsidRPr="00880BB0">
        <w:t>. Oznamovatel si nemusí být absolutně jist, že k oznamovanému jednání skutečně došlo, dochází či má dojít v budoucnu, nicméně pravdivosti oznamovaných informací musí nasvědčovat okolnosti.</w:t>
      </w:r>
    </w:p>
    <w:p w14:paraId="03C15F1F" w14:textId="77777777" w:rsidR="007443CA" w:rsidRPr="00880BB0" w:rsidRDefault="007443CA" w:rsidP="00880BB0">
      <w:pPr>
        <w:pStyle w:val="Normlnweb"/>
        <w:shd w:val="clear" w:color="auto" w:fill="FFFFFF"/>
        <w:spacing w:before="0" w:beforeAutospacing="0" w:after="300" w:afterAutospacing="0" w:line="276" w:lineRule="auto"/>
        <w:jc w:val="both"/>
      </w:pPr>
      <w:r w:rsidRPr="00880BB0">
        <w:t>Oznamovat v režimu ochrany podle zákona o ochraně oznamovatelů </w:t>
      </w:r>
      <w:r w:rsidRPr="00880BB0">
        <w:rPr>
          <w:rStyle w:val="Siln"/>
        </w:rPr>
        <w:t>nelze</w:t>
      </w:r>
      <w:r w:rsidRPr="00880BB0">
        <w:t> ani skutečnosti, jejichž oznámení by mohlo bezprostředně ohrozit podstatný bezpečnostní zájem České republiky.</w:t>
      </w:r>
    </w:p>
    <w:p w14:paraId="2C6AD00D" w14:textId="77777777" w:rsidR="007443CA" w:rsidRPr="00880BB0" w:rsidRDefault="007443CA" w:rsidP="00880BB0">
      <w:pPr>
        <w:pStyle w:val="Normlnweb"/>
        <w:shd w:val="clear" w:color="auto" w:fill="FFFFFF"/>
        <w:spacing w:before="0" w:beforeAutospacing="0" w:after="300" w:afterAutospacing="0" w:line="276" w:lineRule="auto"/>
        <w:jc w:val="both"/>
      </w:pPr>
      <w:r w:rsidRPr="00880BB0">
        <w:rPr>
          <w:rStyle w:val="Siln"/>
          <w:b w:val="0"/>
        </w:rPr>
        <w:t>Oznamovací systém není také určen např. pro oznámení, která rozporují rozhodnutí vydaná soudem ve věci, neboť k tomu jsou určeny </w:t>
      </w:r>
      <w:hyperlink r:id="rId9" w:history="1">
        <w:r w:rsidRPr="00880BB0">
          <w:rPr>
            <w:rStyle w:val="Hypertextovodkaz"/>
            <w:bCs/>
            <w:color w:val="auto"/>
            <w:u w:val="none"/>
          </w:rPr>
          <w:t>opravné prostředky</w:t>
        </w:r>
      </w:hyperlink>
      <w:r w:rsidRPr="00880BB0">
        <w:rPr>
          <w:rStyle w:val="Siln"/>
        </w:rPr>
        <w:t>.</w:t>
      </w:r>
    </w:p>
    <w:p w14:paraId="18BC4782" w14:textId="77777777" w:rsidR="007443CA" w:rsidRPr="00880BB0" w:rsidRDefault="000C6D3B" w:rsidP="00880BB0">
      <w:pPr>
        <w:spacing w:line="276" w:lineRule="auto"/>
        <w:jc w:val="both"/>
        <w:rPr>
          <w:rFonts w:ascii="Times New Roman" w:eastAsia="Times New Roman" w:hAnsi="Times New Roman" w:cs="Times New Roman"/>
          <w:sz w:val="24"/>
          <w:szCs w:val="24"/>
          <w:u w:val="single"/>
          <w:lang w:eastAsia="cs-CZ"/>
        </w:rPr>
      </w:pPr>
      <w:r w:rsidRPr="00880BB0">
        <w:rPr>
          <w:rFonts w:ascii="Times New Roman" w:eastAsia="Times New Roman" w:hAnsi="Times New Roman" w:cs="Times New Roman"/>
          <w:sz w:val="24"/>
          <w:szCs w:val="24"/>
          <w:u w:val="single"/>
          <w:lang w:eastAsia="cs-CZ"/>
        </w:rPr>
        <w:t>9. Jak je chráněna identita oznamovatele?</w:t>
      </w:r>
    </w:p>
    <w:p w14:paraId="0A101654" w14:textId="77777777" w:rsidR="000C6D3B" w:rsidRPr="00880BB0" w:rsidRDefault="000C6D3B" w:rsidP="00880BB0">
      <w:pPr>
        <w:pStyle w:val="Normlnweb"/>
        <w:spacing w:before="0" w:beforeAutospacing="0" w:after="300" w:afterAutospacing="0" w:line="276" w:lineRule="auto"/>
        <w:jc w:val="both"/>
      </w:pPr>
      <w:r w:rsidRPr="00880BB0">
        <w:t xml:space="preserve">Přístup k oznámením má pouze příslušná osoba – tedy osoba pověřená přijímáním a vyřizováním oznámení podaných prostřednictvím vnitřního oznamovacího systému. Ve vztahu k oznámením podávaným u Ministerstva spravedlnosti (tedy prostřednictvím tzv. externího </w:t>
      </w:r>
      <w:r w:rsidRPr="00880BB0">
        <w:lastRenderedPageBreak/>
        <w:t>oznamovacího systému) je do ohlašovacích systémů přístup umožněn pouze speciálně pověřeným zaměstnancům (obdoba příslušných osob). Zákon o ochraně oznamovatelů zakazuje příslušným osobám i pověřeným zaměstnancům komukoliv poskytovat informace, které by mohly zmařit nebo ohrozit účel podávání oznámení. Totožnost oznamovatele ani jiné osoby chráněné před odvetnými opatřeními (např. osoby, která oznamovateli s oznámením pomáhala) nelze bez jejich písemného souhlasu prozradit nikomu dalšímu. Výjimku představuje pouze situace, kdy jsou příslušná osoba nebo pověřený zaměstnanec ze zákona povinni tyto informace poskytnout příslušným orgánům veřejné moci.</w:t>
      </w:r>
    </w:p>
    <w:p w14:paraId="26354EA9" w14:textId="77777777" w:rsidR="000C6D3B" w:rsidRPr="00880BB0" w:rsidRDefault="000C6D3B" w:rsidP="00880BB0">
      <w:pPr>
        <w:pStyle w:val="Normlnweb"/>
        <w:spacing w:before="0" w:beforeAutospacing="0" w:after="300" w:afterAutospacing="0" w:line="276" w:lineRule="auto"/>
        <w:jc w:val="both"/>
        <w:rPr>
          <w:b/>
        </w:rPr>
      </w:pPr>
      <w:r w:rsidRPr="00880BB0">
        <w:rPr>
          <w:rStyle w:val="Siln"/>
          <w:b w:val="0"/>
        </w:rPr>
        <w:t>Povinnost zachovávat důvěrnost se netýká pouze totožnosti, ale vztahuje se i na jakékoli další informace, z nichž by bylo možné přímo či nepřímo určit identitu oznamovatele nebo jiných chráněných osob (a tím zmařit nebo ohrozit účel podávání oznámení). </w:t>
      </w:r>
    </w:p>
    <w:p w14:paraId="6617816F" w14:textId="77777777" w:rsidR="000C6D3B" w:rsidRPr="00880BB0" w:rsidRDefault="000C6D3B" w:rsidP="00880BB0">
      <w:pPr>
        <w:spacing w:line="276" w:lineRule="auto"/>
        <w:jc w:val="both"/>
        <w:rPr>
          <w:rFonts w:ascii="Times New Roman" w:eastAsia="Times New Roman" w:hAnsi="Times New Roman" w:cs="Times New Roman"/>
          <w:sz w:val="24"/>
          <w:szCs w:val="24"/>
          <w:u w:val="single"/>
          <w:lang w:eastAsia="cs-CZ"/>
        </w:rPr>
      </w:pPr>
      <w:r w:rsidRPr="00880BB0">
        <w:rPr>
          <w:rFonts w:ascii="Times New Roman" w:eastAsia="Times New Roman" w:hAnsi="Times New Roman" w:cs="Times New Roman"/>
          <w:sz w:val="24"/>
          <w:szCs w:val="24"/>
          <w:u w:val="single"/>
          <w:lang w:eastAsia="cs-CZ"/>
        </w:rPr>
        <w:t>10. Jak rychle bude oznámení vyřízeno?</w:t>
      </w:r>
    </w:p>
    <w:p w14:paraId="2ECD6993" w14:textId="77777777" w:rsidR="000C6D3B" w:rsidRPr="00880BB0" w:rsidRDefault="000C6D3B" w:rsidP="00880BB0">
      <w:pPr>
        <w:spacing w:line="276" w:lineRule="auto"/>
        <w:jc w:val="both"/>
        <w:rPr>
          <w:rFonts w:ascii="Times New Roman" w:hAnsi="Times New Roman" w:cs="Times New Roman"/>
          <w:sz w:val="24"/>
          <w:szCs w:val="24"/>
          <w:shd w:val="clear" w:color="auto" w:fill="FFFFFF"/>
        </w:rPr>
      </w:pPr>
      <w:r w:rsidRPr="00880BB0">
        <w:rPr>
          <w:rFonts w:ascii="Times New Roman" w:hAnsi="Times New Roman" w:cs="Times New Roman"/>
          <w:sz w:val="24"/>
          <w:szCs w:val="24"/>
          <w:shd w:val="clear" w:color="auto" w:fill="FFFFFF"/>
        </w:rPr>
        <w:t>Zákon stanoví, že do </w:t>
      </w:r>
      <w:r w:rsidRPr="00880BB0">
        <w:rPr>
          <w:rStyle w:val="Siln"/>
          <w:rFonts w:ascii="Times New Roman" w:hAnsi="Times New Roman" w:cs="Times New Roman"/>
          <w:sz w:val="24"/>
          <w:szCs w:val="24"/>
          <w:shd w:val="clear" w:color="auto" w:fill="FFFFFF"/>
        </w:rPr>
        <w:t>7 kalendářních dnů oznamovatel musí obdržet potvrzení o tom, že oznámení bylo přijato, a nejpozději do 30 dnů od přijetí oznámení by oznamovatel měl obdržet vyrozumění o tom, jakým způsobem bylo oznámení posouzeno.</w:t>
      </w:r>
      <w:r w:rsidRPr="00880BB0">
        <w:rPr>
          <w:rFonts w:ascii="Times New Roman" w:hAnsi="Times New Roman" w:cs="Times New Roman"/>
          <w:sz w:val="24"/>
          <w:szCs w:val="24"/>
          <w:shd w:val="clear" w:color="auto" w:fill="FFFFFF"/>
        </w:rPr>
        <w:t> Lhůta na prošetření může být ve složitých případech dvakrát prodloužena o 30 dnů (celkem tedy na 90 dnů). V rámci oznamovacího systému Ministerstva spravedlnosti lze lhůtu prodloužit pouze jednou o 30 dnů na celkovou lhůtu 60 dnů.</w:t>
      </w:r>
    </w:p>
    <w:p w14:paraId="1957F59C" w14:textId="77777777" w:rsidR="00880BB0" w:rsidRPr="00880BB0" w:rsidRDefault="000C6D3B" w:rsidP="00880BB0">
      <w:pPr>
        <w:spacing w:line="276" w:lineRule="auto"/>
        <w:jc w:val="both"/>
        <w:rPr>
          <w:rFonts w:ascii="Times New Roman" w:hAnsi="Times New Roman" w:cs="Times New Roman"/>
          <w:sz w:val="24"/>
          <w:szCs w:val="24"/>
          <w:u w:val="single"/>
          <w:shd w:val="clear" w:color="auto" w:fill="FFFFFF"/>
        </w:rPr>
      </w:pPr>
      <w:r w:rsidRPr="00880BB0">
        <w:rPr>
          <w:rFonts w:ascii="Times New Roman" w:hAnsi="Times New Roman" w:cs="Times New Roman"/>
          <w:sz w:val="24"/>
          <w:szCs w:val="24"/>
          <w:u w:val="single"/>
          <w:shd w:val="clear" w:color="auto" w:fill="FFFFFF"/>
        </w:rPr>
        <w:t>11. Jak bude oznámení vyřízeno?</w:t>
      </w:r>
    </w:p>
    <w:p w14:paraId="5E7626E7" w14:textId="77777777" w:rsidR="000C6D3B" w:rsidRPr="00880BB0" w:rsidRDefault="004D3680" w:rsidP="00880BB0">
      <w:pPr>
        <w:shd w:val="clear" w:color="auto" w:fill="FFFFFF"/>
        <w:spacing w:after="300" w:line="276" w:lineRule="auto"/>
        <w:jc w:val="both"/>
        <w:rPr>
          <w:rFonts w:ascii="Times New Roman" w:eastAsia="Times New Roman" w:hAnsi="Times New Roman" w:cs="Times New Roman"/>
          <w:i/>
          <w:sz w:val="24"/>
          <w:szCs w:val="24"/>
          <w:lang w:eastAsia="cs-CZ"/>
        </w:rPr>
      </w:pPr>
      <w:r w:rsidRPr="00880BB0">
        <w:rPr>
          <w:rFonts w:ascii="Times New Roman" w:eastAsia="Times New Roman" w:hAnsi="Times New Roman" w:cs="Times New Roman"/>
          <w:i/>
          <w:sz w:val="24"/>
          <w:szCs w:val="24"/>
          <w:lang w:eastAsia="cs-CZ"/>
        </w:rPr>
        <w:t>a) Vnitřní oznamovací systém</w:t>
      </w:r>
    </w:p>
    <w:p w14:paraId="75BF65D3" w14:textId="77777777" w:rsidR="000C6D3B" w:rsidRPr="000C6D3B" w:rsidRDefault="000C6D3B" w:rsidP="00880BB0">
      <w:pPr>
        <w:shd w:val="clear" w:color="auto" w:fill="FFFFFF"/>
        <w:spacing w:after="300" w:line="276" w:lineRule="auto"/>
        <w:jc w:val="both"/>
        <w:rPr>
          <w:rFonts w:ascii="Times New Roman" w:eastAsia="Times New Roman" w:hAnsi="Times New Roman" w:cs="Times New Roman"/>
          <w:sz w:val="24"/>
          <w:szCs w:val="24"/>
          <w:lang w:eastAsia="cs-CZ"/>
        </w:rPr>
      </w:pPr>
      <w:r w:rsidRPr="000C6D3B">
        <w:rPr>
          <w:rFonts w:ascii="Times New Roman" w:eastAsia="Times New Roman" w:hAnsi="Times New Roman" w:cs="Times New Roman"/>
          <w:sz w:val="24"/>
          <w:szCs w:val="24"/>
          <w:lang w:eastAsia="cs-CZ"/>
        </w:rPr>
        <w:t xml:space="preserve">Oznámení </w:t>
      </w:r>
      <w:r w:rsidR="004D3680" w:rsidRPr="00880BB0">
        <w:rPr>
          <w:rFonts w:ascii="Times New Roman" w:eastAsia="Times New Roman" w:hAnsi="Times New Roman" w:cs="Times New Roman"/>
          <w:sz w:val="24"/>
          <w:szCs w:val="24"/>
          <w:lang w:eastAsia="cs-CZ"/>
        </w:rPr>
        <w:t>musí příslušná osoba ve</w:t>
      </w:r>
      <w:r w:rsidRPr="000C6D3B">
        <w:rPr>
          <w:rFonts w:ascii="Times New Roman" w:eastAsia="Times New Roman" w:hAnsi="Times New Roman" w:cs="Times New Roman"/>
          <w:sz w:val="24"/>
          <w:szCs w:val="24"/>
          <w:lang w:eastAsia="cs-CZ"/>
        </w:rPr>
        <w:t xml:space="preserve"> stanovené lhůtě zpracovat a o výsledku posouzení vždy vyrozumět oznamovatele.</w:t>
      </w:r>
    </w:p>
    <w:p w14:paraId="4AB23DCC" w14:textId="31E33FA3" w:rsidR="000C6D3B" w:rsidRPr="000C6D3B" w:rsidRDefault="000C6D3B" w:rsidP="00880BB0">
      <w:pPr>
        <w:shd w:val="clear" w:color="auto" w:fill="FFFFFF"/>
        <w:spacing w:after="300" w:line="276" w:lineRule="auto"/>
        <w:jc w:val="both"/>
        <w:rPr>
          <w:rFonts w:ascii="Times New Roman" w:eastAsia="Times New Roman" w:hAnsi="Times New Roman" w:cs="Times New Roman"/>
          <w:sz w:val="24"/>
          <w:szCs w:val="24"/>
          <w:lang w:eastAsia="cs-CZ"/>
        </w:rPr>
      </w:pPr>
      <w:r w:rsidRPr="000C6D3B">
        <w:rPr>
          <w:rFonts w:ascii="Times New Roman" w:eastAsia="Times New Roman" w:hAnsi="Times New Roman" w:cs="Times New Roman"/>
          <w:sz w:val="24"/>
          <w:szCs w:val="24"/>
          <w:lang w:eastAsia="cs-CZ"/>
        </w:rPr>
        <w:t xml:space="preserve">Po přijetí oznámení bude vždy posuzována důvodnost podaného oznámení a v případě, že je oznámení vyhodnoceno jako důvodné, budou </w:t>
      </w:r>
      <w:r w:rsidR="006D07EE">
        <w:rPr>
          <w:rStyle w:val="Siln"/>
          <w:rFonts w:ascii="Times New Roman" w:hAnsi="Times New Roman" w:cs="Times New Roman"/>
          <w:b w:val="0"/>
          <w:sz w:val="24"/>
          <w:szCs w:val="24"/>
          <w:bdr w:val="none" w:sz="0" w:space="0" w:color="auto" w:frame="1"/>
          <w:shd w:val="clear" w:color="auto" w:fill="FFFFFF"/>
        </w:rPr>
        <w:t>povinným subjektům</w:t>
      </w:r>
      <w:r w:rsidR="00DF0642" w:rsidRPr="00DF0642">
        <w:rPr>
          <w:rFonts w:ascii="Times New Roman" w:eastAsia="Times New Roman" w:hAnsi="Times New Roman" w:cs="Times New Roman"/>
          <w:sz w:val="24"/>
          <w:szCs w:val="24"/>
          <w:lang w:eastAsia="cs-CZ"/>
        </w:rPr>
        <w:t xml:space="preserve"> </w:t>
      </w:r>
      <w:r w:rsidRPr="000C6D3B">
        <w:rPr>
          <w:rFonts w:ascii="Times New Roman" w:eastAsia="Times New Roman" w:hAnsi="Times New Roman" w:cs="Times New Roman"/>
          <w:sz w:val="24"/>
          <w:szCs w:val="24"/>
          <w:lang w:eastAsia="cs-CZ"/>
        </w:rPr>
        <w:t>příslušnou osobou doporučena k přijetí opatření k nápravě nebo předejití protiprávnímu stavu.</w:t>
      </w:r>
    </w:p>
    <w:p w14:paraId="32F9958D" w14:textId="77777777" w:rsidR="000C6D3B" w:rsidRPr="000C6D3B" w:rsidRDefault="000C6D3B" w:rsidP="00880BB0">
      <w:pPr>
        <w:shd w:val="clear" w:color="auto" w:fill="FFFFFF"/>
        <w:spacing w:after="300" w:line="276" w:lineRule="auto"/>
        <w:jc w:val="both"/>
        <w:rPr>
          <w:rFonts w:ascii="Times New Roman" w:eastAsia="Times New Roman" w:hAnsi="Times New Roman" w:cs="Times New Roman"/>
          <w:sz w:val="24"/>
          <w:szCs w:val="24"/>
          <w:lang w:eastAsia="cs-CZ"/>
        </w:rPr>
      </w:pPr>
      <w:r w:rsidRPr="000C6D3B">
        <w:rPr>
          <w:rFonts w:ascii="Times New Roman" w:eastAsia="Times New Roman" w:hAnsi="Times New Roman" w:cs="Times New Roman"/>
          <w:sz w:val="24"/>
          <w:szCs w:val="24"/>
          <w:lang w:eastAsia="cs-CZ"/>
        </w:rPr>
        <w:t>V průběhu prošetřování příslušná osoba může požádat oznamující osobu o objasnění sdělených informací nebo o poskytnutí dodatečných informací.</w:t>
      </w:r>
    </w:p>
    <w:p w14:paraId="2BEAFEEB" w14:textId="77777777" w:rsidR="000C6D3B" w:rsidRPr="000C6D3B" w:rsidRDefault="000C6D3B" w:rsidP="00880BB0">
      <w:pPr>
        <w:shd w:val="clear" w:color="auto" w:fill="FFFFFF"/>
        <w:spacing w:after="300" w:line="276" w:lineRule="auto"/>
        <w:jc w:val="both"/>
        <w:rPr>
          <w:rFonts w:ascii="Times New Roman" w:eastAsia="Times New Roman" w:hAnsi="Times New Roman" w:cs="Times New Roman"/>
          <w:sz w:val="24"/>
          <w:szCs w:val="24"/>
          <w:lang w:eastAsia="cs-CZ"/>
        </w:rPr>
      </w:pPr>
      <w:r w:rsidRPr="000C6D3B">
        <w:rPr>
          <w:rFonts w:ascii="Times New Roman" w:eastAsia="Times New Roman" w:hAnsi="Times New Roman" w:cs="Times New Roman"/>
          <w:sz w:val="24"/>
          <w:szCs w:val="24"/>
          <w:lang w:eastAsia="cs-CZ"/>
        </w:rPr>
        <w:t>Po celou dobu je chráněna totožnost oznamovatele i dalších chráněných osob. Postoupení oznámení k dalšímu šetření orgánu veřejné moci je podmíněno souhlasem oznamovatele (až na obecnou povinnost oznamovat trestné činy podle § 368 trestního zákoníku), i v takovém případě však musí být zachována ochrana jeho totožnosti.  Výjimkou z uvedeného pravidla je nicméně situace, kdy by sdělení totožnosti oznamovatele bylo povinností podle některého právního předpisu (např. ve vztahu k orgánům činným v trestním řízení či přestupkovým orgánům), ovšem i o této skutečnosti musí být oznamovatel vyrozuměn.</w:t>
      </w:r>
    </w:p>
    <w:p w14:paraId="714235CA" w14:textId="77777777" w:rsidR="00880BB0" w:rsidRPr="00880BB0" w:rsidRDefault="004D3680" w:rsidP="00880BB0">
      <w:pPr>
        <w:jc w:val="both"/>
        <w:rPr>
          <w:rFonts w:ascii="Times New Roman" w:hAnsi="Times New Roman" w:cs="Times New Roman"/>
          <w:i/>
          <w:sz w:val="24"/>
          <w:szCs w:val="24"/>
        </w:rPr>
      </w:pPr>
      <w:r w:rsidRPr="00880BB0">
        <w:rPr>
          <w:rFonts w:ascii="Times New Roman" w:hAnsi="Times New Roman" w:cs="Times New Roman"/>
          <w:i/>
          <w:sz w:val="24"/>
          <w:szCs w:val="24"/>
        </w:rPr>
        <w:t>b) Ministerstvo spravedlnosti</w:t>
      </w:r>
    </w:p>
    <w:p w14:paraId="14167DF9" w14:textId="77777777" w:rsidR="004D3680" w:rsidRPr="00880BB0" w:rsidRDefault="000C6D3B" w:rsidP="00880BB0">
      <w:pPr>
        <w:spacing w:line="276" w:lineRule="auto"/>
        <w:jc w:val="both"/>
        <w:rPr>
          <w:rFonts w:ascii="Times New Roman" w:hAnsi="Times New Roman" w:cs="Times New Roman"/>
          <w:sz w:val="24"/>
          <w:szCs w:val="24"/>
        </w:rPr>
      </w:pPr>
      <w:r w:rsidRPr="00880BB0">
        <w:rPr>
          <w:rFonts w:ascii="Times New Roman" w:hAnsi="Times New Roman" w:cs="Times New Roman"/>
          <w:sz w:val="24"/>
          <w:szCs w:val="24"/>
        </w:rPr>
        <w:lastRenderedPageBreak/>
        <w:br/>
      </w:r>
      <w:r w:rsidR="004D3680" w:rsidRPr="00880BB0">
        <w:rPr>
          <w:rFonts w:ascii="Times New Roman" w:hAnsi="Times New Roman" w:cs="Times New Roman"/>
          <w:sz w:val="24"/>
          <w:szCs w:val="24"/>
        </w:rPr>
        <w:t>Pověřené osoby prošetřující oznámení podaná prostřednictvím oznamovacího systému Ministerstva spravedlnosti vyhodnocují oznámení z hlediska působnosti zákona o ochraně oznamovatelů a z hlediska příslušnosti orgánu veřejné moci, který by se oznamovaným protiprávním jednáním měl zabývat. Následně tedy oznámení předávají jako podněty k dalšímu šetření orgánům veřejné moci (např. orgánům činným v trestním řízení, inspekčním orgánům apod.).</w:t>
      </w:r>
    </w:p>
    <w:p w14:paraId="3DEB6909" w14:textId="77777777" w:rsidR="004D3680" w:rsidRPr="00880BB0" w:rsidRDefault="004D3680" w:rsidP="00880BB0">
      <w:pPr>
        <w:pStyle w:val="Normlnweb"/>
        <w:shd w:val="clear" w:color="auto" w:fill="FFFFFF"/>
        <w:spacing w:before="0" w:beforeAutospacing="0" w:after="300" w:afterAutospacing="0" w:line="276" w:lineRule="auto"/>
        <w:jc w:val="both"/>
      </w:pPr>
      <w:r w:rsidRPr="00880BB0">
        <w:t>Na rozdíl od příslušných osob, které přijímají a vyřizují oznámení v rámci vnitřního oznamovacího systému, tak pověření zaměstnanci Ministerstva spravedlnosti neprovádí žádné prošetřování oznámeného protiprávního jednání u organizace, ve které k němu mělo dojít ani následně nenavrhují opatření k předejití nebo nápravě zjištěného protiprávního stavu.</w:t>
      </w:r>
    </w:p>
    <w:p w14:paraId="0B296539" w14:textId="77777777" w:rsidR="004D3680" w:rsidRPr="00880BB0" w:rsidRDefault="004D3680" w:rsidP="00880BB0">
      <w:pPr>
        <w:pStyle w:val="Normlnweb"/>
        <w:shd w:val="clear" w:color="auto" w:fill="FFFFFF"/>
        <w:spacing w:before="0" w:beforeAutospacing="0" w:after="300" w:afterAutospacing="0" w:line="276" w:lineRule="auto"/>
        <w:jc w:val="both"/>
      </w:pPr>
      <w:r w:rsidRPr="00880BB0">
        <w:t xml:space="preserve">Stejně jako u vyřizování oznámení přijatého v rámci vnitřního oznamovacího systému je po celou dobu chráněna totožnost oznamovatele i dalších chráněných osob. Postoupení oznámení k dalšímu šetření orgánu veřejné moci však není podmíněno souhlasem oznamovatele. K postoupení by mělo dojít vždy, shledá-li ministerstvo, že se jedná o oznámení důvodné a že existuje orgán příslušný k jeho prošetření. I v takovém případě však musí být zachována ochrana totožnosti oznamovatele.  Výjimkou z uvedeného pravidla je nicméně rovněž situace, kdy by sdělení totožnosti oznamovatele bylo </w:t>
      </w:r>
      <w:bookmarkStart w:id="0" w:name="_GoBack"/>
      <w:r w:rsidRPr="00880BB0">
        <w:t>povin</w:t>
      </w:r>
      <w:bookmarkEnd w:id="0"/>
      <w:r w:rsidRPr="00880BB0">
        <w:t>ností podle některého právního předpisu (např. ve vztahu k orgánům činným v trestním řízení či přestupkovým orgánům), ovšem i o této skutečnosti musí být oznamovatel vyrozuměn.</w:t>
      </w:r>
    </w:p>
    <w:p w14:paraId="4E1D0536" w14:textId="77777777" w:rsidR="004D3680" w:rsidRPr="00880BB0" w:rsidRDefault="0035447F" w:rsidP="00880BB0">
      <w:pPr>
        <w:spacing w:line="276" w:lineRule="auto"/>
        <w:jc w:val="both"/>
        <w:rPr>
          <w:rFonts w:ascii="Times New Roman" w:eastAsia="Times New Roman" w:hAnsi="Times New Roman" w:cs="Times New Roman"/>
          <w:sz w:val="24"/>
          <w:szCs w:val="24"/>
          <w:u w:val="single"/>
          <w:lang w:eastAsia="cs-CZ"/>
        </w:rPr>
      </w:pPr>
      <w:r w:rsidRPr="00880BB0">
        <w:rPr>
          <w:rFonts w:ascii="Times New Roman" w:eastAsia="Times New Roman" w:hAnsi="Times New Roman" w:cs="Times New Roman"/>
          <w:sz w:val="24"/>
          <w:szCs w:val="24"/>
          <w:u w:val="single"/>
          <w:lang w:eastAsia="cs-CZ"/>
        </w:rPr>
        <w:t>12. Poradenství pro oznamovatele</w:t>
      </w:r>
    </w:p>
    <w:p w14:paraId="4A5DC9B9" w14:textId="77777777" w:rsidR="0035447F" w:rsidRPr="00880BB0" w:rsidRDefault="0035447F" w:rsidP="00880BB0">
      <w:pPr>
        <w:spacing w:line="276" w:lineRule="auto"/>
        <w:jc w:val="both"/>
        <w:rPr>
          <w:rFonts w:ascii="Times New Roman" w:hAnsi="Times New Roman" w:cs="Times New Roman"/>
          <w:sz w:val="24"/>
          <w:szCs w:val="24"/>
          <w:shd w:val="clear" w:color="auto" w:fill="FFFFFF"/>
        </w:rPr>
      </w:pPr>
      <w:r w:rsidRPr="00880BB0">
        <w:rPr>
          <w:rFonts w:ascii="Times New Roman" w:hAnsi="Times New Roman" w:cs="Times New Roman"/>
          <w:sz w:val="24"/>
          <w:szCs w:val="24"/>
          <w:shd w:val="clear" w:color="auto" w:fill="FFFFFF"/>
        </w:rPr>
        <w:t>Osoby zvažující podání oznámení o protiprávním jednání se před podáním vlastního oznámení mohou bezplatně a důvěrně obrátit na Ministerstvo spravedlnosti písemně (oznamovatel@msp.justice.cz) či ústně (tel.: 221 997 840) s žádostí o konzultaci v této věci.</w:t>
      </w:r>
    </w:p>
    <w:p w14:paraId="0B10A7A2" w14:textId="77777777" w:rsidR="00C11C03" w:rsidRPr="00880BB0" w:rsidRDefault="00C11C03" w:rsidP="00880BB0">
      <w:pPr>
        <w:spacing w:line="276" w:lineRule="auto"/>
        <w:jc w:val="both"/>
        <w:rPr>
          <w:rFonts w:ascii="Times New Roman" w:hAnsi="Times New Roman" w:cs="Times New Roman"/>
          <w:sz w:val="24"/>
          <w:szCs w:val="24"/>
          <w:u w:val="single"/>
          <w:shd w:val="clear" w:color="auto" w:fill="FFFFFF"/>
        </w:rPr>
      </w:pPr>
      <w:r w:rsidRPr="00880BB0">
        <w:rPr>
          <w:rFonts w:ascii="Times New Roman" w:hAnsi="Times New Roman" w:cs="Times New Roman"/>
          <w:sz w:val="24"/>
          <w:szCs w:val="24"/>
          <w:u w:val="single"/>
          <w:shd w:val="clear" w:color="auto" w:fill="FFFFFF"/>
        </w:rPr>
        <w:t>13. Je oznamovatelem i osoba, která podá oznámení přímo orgánu veřejné moci?</w:t>
      </w:r>
    </w:p>
    <w:p w14:paraId="18FBBB22" w14:textId="77777777" w:rsidR="00C11C03" w:rsidRPr="00880BB0" w:rsidRDefault="00C11C03" w:rsidP="00880BB0">
      <w:pPr>
        <w:spacing w:line="276" w:lineRule="auto"/>
        <w:jc w:val="both"/>
        <w:rPr>
          <w:rFonts w:ascii="Times New Roman" w:eastAsia="Times New Roman" w:hAnsi="Times New Roman" w:cs="Times New Roman"/>
          <w:sz w:val="24"/>
          <w:szCs w:val="24"/>
          <w:u w:val="single"/>
          <w:lang w:eastAsia="cs-CZ"/>
        </w:rPr>
      </w:pPr>
      <w:r w:rsidRPr="00880BB0">
        <w:rPr>
          <w:rFonts w:ascii="Times New Roman" w:hAnsi="Times New Roman" w:cs="Times New Roman"/>
          <w:sz w:val="24"/>
          <w:szCs w:val="24"/>
          <w:shd w:val="clear" w:color="auto" w:fill="FFFFFF"/>
        </w:rPr>
        <w:t>Oznamovatel může oznámení vždy podat rovněž orgánu veřejné moci příslušnému k řešení oznamovaného protiprávního jednání podle jiných právních předpisů (v případě trestního oznámení jde o policejní orgán a státního zástupce, v případě oznámení přestupku jde o věcně a místně příslušný správní orgán atd.), a to vnitrostátnímu i unijnímu. Za oznamovatele se tak</w:t>
      </w:r>
      <w:r w:rsidRPr="00880BB0">
        <w:rPr>
          <w:rStyle w:val="Siln"/>
          <w:rFonts w:ascii="Times New Roman" w:hAnsi="Times New Roman" w:cs="Times New Roman"/>
          <w:sz w:val="24"/>
          <w:szCs w:val="24"/>
          <w:shd w:val="clear" w:color="auto" w:fill="FFFFFF"/>
        </w:rPr>
        <w:t> ve smyslu ochrany a zákazu odvetných opatření </w:t>
      </w:r>
      <w:r w:rsidRPr="00880BB0">
        <w:rPr>
          <w:rFonts w:ascii="Times New Roman" w:hAnsi="Times New Roman" w:cs="Times New Roman"/>
          <w:sz w:val="24"/>
          <w:szCs w:val="24"/>
          <w:shd w:val="clear" w:color="auto" w:fill="FFFFFF"/>
        </w:rPr>
        <w:t>považuje i osoba, která oznámení podá přímo u orgánu příslušného k přijímání oznámení podle jiných právních předpisů, ačkoliv se nejedná o podání oznámení prostřednictvím vnitřního ani vnějšího oznamovacího systému (ministerstva). Takový</w:t>
      </w:r>
      <w:r w:rsidRPr="00880BB0">
        <w:rPr>
          <w:rStyle w:val="Siln"/>
          <w:rFonts w:ascii="Times New Roman" w:hAnsi="Times New Roman" w:cs="Times New Roman"/>
          <w:sz w:val="24"/>
          <w:szCs w:val="24"/>
          <w:shd w:val="clear" w:color="auto" w:fill="FFFFFF"/>
        </w:rPr>
        <w:t> orgán nicméně nemusí oznámení řešit způsobem a ve lhůtách podle zákona o ochraně oznamovatelů.</w:t>
      </w:r>
    </w:p>
    <w:sectPr w:rsidR="00C11C03" w:rsidRPr="00880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6F9A"/>
    <w:multiLevelType w:val="multilevel"/>
    <w:tmpl w:val="9054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600276"/>
    <w:multiLevelType w:val="hybridMultilevel"/>
    <w:tmpl w:val="9C9C9B38"/>
    <w:lvl w:ilvl="0" w:tplc="78722924">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50260B84"/>
    <w:multiLevelType w:val="multilevel"/>
    <w:tmpl w:val="12D2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EA6EEF"/>
    <w:multiLevelType w:val="multilevel"/>
    <w:tmpl w:val="18D8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CF"/>
    <w:rsid w:val="000B7360"/>
    <w:rsid w:val="000C6D3B"/>
    <w:rsid w:val="00150E12"/>
    <w:rsid w:val="001B1EFA"/>
    <w:rsid w:val="001E3E90"/>
    <w:rsid w:val="0025024E"/>
    <w:rsid w:val="002A02C4"/>
    <w:rsid w:val="002A183E"/>
    <w:rsid w:val="0035447F"/>
    <w:rsid w:val="004D3680"/>
    <w:rsid w:val="0069265B"/>
    <w:rsid w:val="006D07EE"/>
    <w:rsid w:val="007443CA"/>
    <w:rsid w:val="00871FCF"/>
    <w:rsid w:val="00880BB0"/>
    <w:rsid w:val="00922930"/>
    <w:rsid w:val="009613F7"/>
    <w:rsid w:val="00997A70"/>
    <w:rsid w:val="009B1A19"/>
    <w:rsid w:val="00A04E40"/>
    <w:rsid w:val="00A74500"/>
    <w:rsid w:val="00AF4710"/>
    <w:rsid w:val="00B379DA"/>
    <w:rsid w:val="00C11C03"/>
    <w:rsid w:val="00D32F19"/>
    <w:rsid w:val="00D94757"/>
    <w:rsid w:val="00DF06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BE03"/>
  <w15:chartTrackingRefBased/>
  <w15:docId w15:val="{631F3B86-8693-4AE2-A306-E99E0AF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71F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71FCF"/>
    <w:rPr>
      <w:b/>
      <w:bCs/>
    </w:rPr>
  </w:style>
  <w:style w:type="character" w:styleId="Hypertextovodkaz">
    <w:name w:val="Hyperlink"/>
    <w:basedOn w:val="Standardnpsmoodstavce"/>
    <w:uiPriority w:val="99"/>
    <w:unhideWhenUsed/>
    <w:rsid w:val="00871FCF"/>
    <w:rPr>
      <w:color w:val="0000FF"/>
      <w:u w:val="single"/>
    </w:rPr>
  </w:style>
  <w:style w:type="paragraph" w:styleId="Odstavecseseznamem">
    <w:name w:val="List Paragraph"/>
    <w:basedOn w:val="Normln"/>
    <w:uiPriority w:val="34"/>
    <w:qFormat/>
    <w:rsid w:val="00871FCF"/>
    <w:pPr>
      <w:ind w:left="720"/>
      <w:contextualSpacing/>
    </w:pPr>
  </w:style>
  <w:style w:type="character" w:styleId="Sledovanodkaz">
    <w:name w:val="FollowedHyperlink"/>
    <w:basedOn w:val="Standardnpsmoodstavce"/>
    <w:uiPriority w:val="99"/>
    <w:semiHidden/>
    <w:unhideWhenUsed/>
    <w:rsid w:val="002A183E"/>
    <w:rPr>
      <w:color w:val="954F72" w:themeColor="followedHyperlink"/>
      <w:u w:val="single"/>
    </w:rPr>
  </w:style>
  <w:style w:type="character" w:styleId="Zdraznn">
    <w:name w:val="Emphasis"/>
    <w:basedOn w:val="Standardnpsmoodstavce"/>
    <w:uiPriority w:val="20"/>
    <w:qFormat/>
    <w:rsid w:val="007443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49941">
      <w:bodyDiv w:val="1"/>
      <w:marLeft w:val="0"/>
      <w:marRight w:val="0"/>
      <w:marTop w:val="0"/>
      <w:marBottom w:val="0"/>
      <w:divBdr>
        <w:top w:val="none" w:sz="0" w:space="0" w:color="auto"/>
        <w:left w:val="none" w:sz="0" w:space="0" w:color="auto"/>
        <w:bottom w:val="none" w:sz="0" w:space="0" w:color="auto"/>
        <w:right w:val="none" w:sz="0" w:space="0" w:color="auto"/>
      </w:divBdr>
    </w:div>
    <w:div w:id="620307074">
      <w:bodyDiv w:val="1"/>
      <w:marLeft w:val="0"/>
      <w:marRight w:val="0"/>
      <w:marTop w:val="0"/>
      <w:marBottom w:val="0"/>
      <w:divBdr>
        <w:top w:val="none" w:sz="0" w:space="0" w:color="auto"/>
        <w:left w:val="none" w:sz="0" w:space="0" w:color="auto"/>
        <w:bottom w:val="none" w:sz="0" w:space="0" w:color="auto"/>
        <w:right w:val="none" w:sz="0" w:space="0" w:color="auto"/>
      </w:divBdr>
    </w:div>
    <w:div w:id="709765703">
      <w:bodyDiv w:val="1"/>
      <w:marLeft w:val="0"/>
      <w:marRight w:val="0"/>
      <w:marTop w:val="0"/>
      <w:marBottom w:val="0"/>
      <w:divBdr>
        <w:top w:val="none" w:sz="0" w:space="0" w:color="auto"/>
        <w:left w:val="none" w:sz="0" w:space="0" w:color="auto"/>
        <w:bottom w:val="none" w:sz="0" w:space="0" w:color="auto"/>
        <w:right w:val="none" w:sz="0" w:space="0" w:color="auto"/>
      </w:divBdr>
    </w:div>
    <w:div w:id="1052924694">
      <w:bodyDiv w:val="1"/>
      <w:marLeft w:val="0"/>
      <w:marRight w:val="0"/>
      <w:marTop w:val="0"/>
      <w:marBottom w:val="0"/>
      <w:divBdr>
        <w:top w:val="none" w:sz="0" w:space="0" w:color="auto"/>
        <w:left w:val="none" w:sz="0" w:space="0" w:color="auto"/>
        <w:bottom w:val="none" w:sz="0" w:space="0" w:color="auto"/>
        <w:right w:val="none" w:sz="0" w:space="0" w:color="auto"/>
      </w:divBdr>
      <w:divsChild>
        <w:div w:id="947659428">
          <w:marLeft w:val="0"/>
          <w:marRight w:val="0"/>
          <w:marTop w:val="0"/>
          <w:marBottom w:val="0"/>
          <w:divBdr>
            <w:top w:val="none" w:sz="0" w:space="0" w:color="auto"/>
            <w:left w:val="none" w:sz="0" w:space="0" w:color="auto"/>
            <w:bottom w:val="none" w:sz="0" w:space="0" w:color="auto"/>
            <w:right w:val="none" w:sz="0" w:space="0" w:color="auto"/>
          </w:divBdr>
        </w:div>
      </w:divsChild>
    </w:div>
    <w:div w:id="1389379260">
      <w:bodyDiv w:val="1"/>
      <w:marLeft w:val="0"/>
      <w:marRight w:val="0"/>
      <w:marTop w:val="0"/>
      <w:marBottom w:val="0"/>
      <w:divBdr>
        <w:top w:val="none" w:sz="0" w:space="0" w:color="auto"/>
        <w:left w:val="none" w:sz="0" w:space="0" w:color="auto"/>
        <w:bottom w:val="none" w:sz="0" w:space="0" w:color="auto"/>
        <w:right w:val="none" w:sz="0" w:space="0" w:color="auto"/>
      </w:divBdr>
      <w:divsChild>
        <w:div w:id="1404450433">
          <w:marLeft w:val="0"/>
          <w:marRight w:val="0"/>
          <w:marTop w:val="0"/>
          <w:marBottom w:val="0"/>
          <w:divBdr>
            <w:top w:val="none" w:sz="0" w:space="0" w:color="auto"/>
            <w:left w:val="none" w:sz="0" w:space="0" w:color="auto"/>
            <w:bottom w:val="none" w:sz="0" w:space="0" w:color="auto"/>
            <w:right w:val="none" w:sz="0" w:space="0" w:color="auto"/>
          </w:divBdr>
        </w:div>
      </w:divsChild>
    </w:div>
    <w:div w:id="1524245414">
      <w:bodyDiv w:val="1"/>
      <w:marLeft w:val="0"/>
      <w:marRight w:val="0"/>
      <w:marTop w:val="0"/>
      <w:marBottom w:val="0"/>
      <w:divBdr>
        <w:top w:val="none" w:sz="0" w:space="0" w:color="auto"/>
        <w:left w:val="none" w:sz="0" w:space="0" w:color="auto"/>
        <w:bottom w:val="none" w:sz="0" w:space="0" w:color="auto"/>
        <w:right w:val="none" w:sz="0" w:space="0" w:color="auto"/>
      </w:divBdr>
      <w:divsChild>
        <w:div w:id="1024551412">
          <w:marLeft w:val="0"/>
          <w:marRight w:val="0"/>
          <w:marTop w:val="0"/>
          <w:marBottom w:val="0"/>
          <w:divBdr>
            <w:top w:val="none" w:sz="0" w:space="0" w:color="auto"/>
            <w:left w:val="none" w:sz="0" w:space="0" w:color="auto"/>
            <w:bottom w:val="none" w:sz="0" w:space="0" w:color="auto"/>
            <w:right w:val="none" w:sz="0" w:space="0" w:color="auto"/>
          </w:divBdr>
        </w:div>
      </w:divsChild>
    </w:div>
    <w:div w:id="1582059549">
      <w:bodyDiv w:val="1"/>
      <w:marLeft w:val="0"/>
      <w:marRight w:val="0"/>
      <w:marTop w:val="0"/>
      <w:marBottom w:val="0"/>
      <w:divBdr>
        <w:top w:val="none" w:sz="0" w:space="0" w:color="auto"/>
        <w:left w:val="none" w:sz="0" w:space="0" w:color="auto"/>
        <w:bottom w:val="none" w:sz="0" w:space="0" w:color="auto"/>
        <w:right w:val="none" w:sz="0" w:space="0" w:color="auto"/>
      </w:divBdr>
    </w:div>
    <w:div w:id="1696229316">
      <w:bodyDiv w:val="1"/>
      <w:marLeft w:val="0"/>
      <w:marRight w:val="0"/>
      <w:marTop w:val="0"/>
      <w:marBottom w:val="0"/>
      <w:divBdr>
        <w:top w:val="none" w:sz="0" w:space="0" w:color="auto"/>
        <w:left w:val="none" w:sz="0" w:space="0" w:color="auto"/>
        <w:bottom w:val="none" w:sz="0" w:space="0" w:color="auto"/>
        <w:right w:val="none" w:sz="0" w:space="0" w:color="auto"/>
      </w:divBdr>
    </w:div>
    <w:div w:id="1911112267">
      <w:bodyDiv w:val="1"/>
      <w:marLeft w:val="0"/>
      <w:marRight w:val="0"/>
      <w:marTop w:val="0"/>
      <w:marBottom w:val="0"/>
      <w:divBdr>
        <w:top w:val="none" w:sz="0" w:space="0" w:color="auto"/>
        <w:left w:val="none" w:sz="0" w:space="0" w:color="auto"/>
        <w:bottom w:val="none" w:sz="0" w:space="0" w:color="auto"/>
        <w:right w:val="none" w:sz="0" w:space="0" w:color="auto"/>
      </w:divBdr>
    </w:div>
    <w:div w:id="210811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znamovatel.justice.cz/chci-podat-oznameni/" TargetMode="External"/><Relationship Id="rId3" Type="http://schemas.openxmlformats.org/officeDocument/2006/relationships/settings" Target="settings.xml"/><Relationship Id="rId7" Type="http://schemas.openxmlformats.org/officeDocument/2006/relationships/hyperlink" Target="tel:+420774%20329%20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bar@rklegal.cz" TargetMode="External"/><Relationship Id="rId11" Type="http://schemas.openxmlformats.org/officeDocument/2006/relationships/theme" Target="theme/theme1.xml"/><Relationship Id="rId5" Type="http://schemas.openxmlformats.org/officeDocument/2006/relationships/hyperlink" Target="https://www.justice.cz/web/msp/podatelna-ministerstv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ustice.cz/chci-si-stezovat-na-vysledek-soudniho-rize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1906</Words>
  <Characters>11248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Advokátní kancelář</dc:creator>
  <cp:keywords/>
  <dc:description/>
  <cp:lastModifiedBy>Advokátní kancelář</cp:lastModifiedBy>
  <cp:revision>14</cp:revision>
  <dcterms:created xsi:type="dcterms:W3CDTF">2023-08-10T13:48:00Z</dcterms:created>
  <dcterms:modified xsi:type="dcterms:W3CDTF">2023-12-21T15:38:00Z</dcterms:modified>
</cp:coreProperties>
</file>